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41D3B787" w:rsidR="00A160B2" w:rsidRDefault="00CC2663" w:rsidP="00A160B2">
      <w:pPr>
        <w:spacing w:after="480"/>
      </w:pPr>
      <w:r>
        <w:rPr>
          <w:noProof/>
        </w:rPr>
        <w:drawing>
          <wp:inline distT="0" distB="0" distL="0" distR="0" wp14:anchorId="72347AAD" wp14:editId="6253275F">
            <wp:extent cx="2440940" cy="707390"/>
            <wp:effectExtent l="0" t="0" r="0" b="0"/>
            <wp:docPr id="3" name="Picture 3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Borough of Harro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</w:tblPr>
      <w:tblGrid>
        <w:gridCol w:w="3388"/>
        <w:gridCol w:w="4921"/>
      </w:tblGrid>
      <w:tr w:rsidR="00A160B2" w14:paraId="3E9231EB" w14:textId="77777777" w:rsidTr="00CC2663">
        <w:trPr>
          <w:tblHeader/>
        </w:trPr>
        <w:tc>
          <w:tcPr>
            <w:tcW w:w="3388" w:type="dxa"/>
            <w:tcBorders>
              <w:top w:val="single" w:sz="18" w:space="0" w:color="auto"/>
              <w:bottom w:val="single" w:sz="18" w:space="0" w:color="auto"/>
            </w:tcBorders>
          </w:tcPr>
          <w:p w14:paraId="2EDC0AA9" w14:textId="309DFE1C" w:rsidR="00A160B2" w:rsidRPr="00B805DB" w:rsidRDefault="00CC2663" w:rsidP="00603EC9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top w:val="single" w:sz="18" w:space="0" w:color="auto"/>
              <w:bottom w:val="single" w:sz="18" w:space="0" w:color="auto"/>
            </w:tcBorders>
          </w:tcPr>
          <w:p w14:paraId="6E67C462" w14:textId="77777777" w:rsidR="00A160B2" w:rsidRDefault="00784A42" w:rsidP="00784A42">
            <w:pPr>
              <w:pStyle w:val="Heading1"/>
              <w:outlineLvl w:val="0"/>
            </w:pPr>
            <w:r>
              <w:t>Pension Fund C</w:t>
            </w:r>
            <w:r w:rsidR="00A160B2">
              <w:t>ommittee</w:t>
            </w:r>
          </w:p>
          <w:p w14:paraId="55A88F66" w14:textId="45EE9F72" w:rsidR="00784A42" w:rsidRPr="00784A42" w:rsidRDefault="00784A42" w:rsidP="00784A42"/>
        </w:tc>
      </w:tr>
      <w:tr w:rsidR="00A160B2" w14:paraId="5281F5A9" w14:textId="77777777" w:rsidTr="00CC2663">
        <w:tc>
          <w:tcPr>
            <w:tcW w:w="3388" w:type="dxa"/>
            <w:tcBorders>
              <w:top w:val="single" w:sz="18" w:space="0" w:color="auto"/>
            </w:tcBorders>
          </w:tcPr>
          <w:p w14:paraId="1C16A2F0" w14:textId="77777777" w:rsidR="00CC2663" w:rsidRDefault="00CC2663" w:rsidP="00603EC9">
            <w:pPr>
              <w:pStyle w:val="Infotext"/>
              <w:rPr>
                <w:rFonts w:ascii="Arial Black" w:hAnsi="Arial Black"/>
              </w:rPr>
            </w:pPr>
          </w:p>
          <w:p w14:paraId="0991D380" w14:textId="18980C25" w:rsidR="00A160B2" w:rsidRPr="00F92398" w:rsidRDefault="00A160B2" w:rsidP="00603EC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28B3E655" w14:textId="77777777" w:rsidR="00CC2663" w:rsidRPr="00CC2663" w:rsidRDefault="00CC2663" w:rsidP="00603EC9">
            <w:pPr>
              <w:pStyle w:val="Infotext"/>
              <w:rPr>
                <w:rFonts w:cs="Arial"/>
                <w:sz w:val="30"/>
                <w:szCs w:val="30"/>
              </w:rPr>
            </w:pPr>
          </w:p>
          <w:p w14:paraId="495EBCE8" w14:textId="63C46B66" w:rsidR="00A160B2" w:rsidRPr="00CC2663" w:rsidRDefault="007C6FE5" w:rsidP="00603EC9">
            <w:pPr>
              <w:pStyle w:val="Infotext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04 April 2024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03EC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513B2F91" w:rsidR="00A160B2" w:rsidRDefault="007D22A9" w:rsidP="00603EC9">
            <w:pPr>
              <w:pStyle w:val="Infotext"/>
              <w:rPr>
                <w:rFonts w:cs="Arial"/>
              </w:rPr>
            </w:pPr>
            <w:r>
              <w:rPr>
                <w:rFonts w:cs="Arial"/>
                <w:szCs w:val="28"/>
              </w:rPr>
              <w:t>The Pensions Regula</w:t>
            </w:r>
            <w:r w:rsidR="00700037">
              <w:rPr>
                <w:rFonts w:cs="Arial"/>
                <w:szCs w:val="28"/>
              </w:rPr>
              <w:t>tor</w:t>
            </w:r>
            <w:r>
              <w:rPr>
                <w:rFonts w:cs="Arial"/>
                <w:szCs w:val="28"/>
              </w:rPr>
              <w:t xml:space="preserve"> (PR) Code of Practice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3CF266C9" w14:textId="35F4A28C" w:rsidR="00A160B2" w:rsidRDefault="00837FA7" w:rsidP="00603EC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Sharon Daniels</w:t>
            </w:r>
            <w:r w:rsidR="001C7629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 xml:space="preserve">Acting </w:t>
            </w:r>
            <w:r w:rsidR="001C7629">
              <w:rPr>
                <w:rFonts w:cs="Arial"/>
              </w:rPr>
              <w:t xml:space="preserve">Director of Finance and Assurance </w:t>
            </w: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36B967A5" w14:textId="353F848F" w:rsidR="001C7629" w:rsidRDefault="001C7629" w:rsidP="001C7629">
            <w:pPr>
              <w:pStyle w:val="Infotext"/>
              <w:rPr>
                <w:rFonts w:cs="Arial"/>
              </w:rPr>
            </w:pPr>
            <w:r>
              <w:rPr>
                <w:rFonts w:cs="Arial"/>
                <w:szCs w:val="28"/>
              </w:rPr>
              <w:t xml:space="preserve">No </w:t>
            </w:r>
          </w:p>
          <w:p w14:paraId="4C873B59" w14:textId="77777777" w:rsidR="00A160B2" w:rsidRDefault="00A160B2" w:rsidP="00603EC9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03EC9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03EC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B906090" w14:textId="77777777" w:rsidR="00A160B2" w:rsidRDefault="00A160B2" w:rsidP="00603EC9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Pr="005E3A10">
              <w:rPr>
                <w:rFonts w:cs="Arial"/>
                <w:szCs w:val="24"/>
              </w:rPr>
              <w:t>ist Ward(s)</w:t>
            </w:r>
            <w:r>
              <w:rPr>
                <w:rFonts w:cs="Arial"/>
                <w:szCs w:val="24"/>
              </w:rPr>
              <w:t xml:space="preserve"> affected by decision.</w:t>
            </w:r>
          </w:p>
          <w:p w14:paraId="6CD568AC" w14:textId="425D312D" w:rsidR="00A160B2" w:rsidRDefault="00017448" w:rsidP="00603EC9">
            <w:pPr>
              <w:pStyle w:val="Infotext"/>
            </w:pPr>
            <w:r>
              <w:rPr>
                <w:b/>
              </w:rPr>
              <w:t>None</w:t>
            </w:r>
          </w:p>
        </w:tc>
      </w:tr>
      <w:tr w:rsidR="00A160B2" w:rsidRPr="008C6054" w14:paraId="7C35C184" w14:textId="77777777" w:rsidTr="005D43D1">
        <w:trPr>
          <w:trHeight w:val="4209"/>
        </w:trPr>
        <w:tc>
          <w:tcPr>
            <w:tcW w:w="3388" w:type="dxa"/>
          </w:tcPr>
          <w:p w14:paraId="537C01BC" w14:textId="77777777" w:rsidR="00A160B2" w:rsidRPr="00EC0479" w:rsidRDefault="00A160B2" w:rsidP="00603EC9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EC0479" w:rsidRDefault="00A160B2" w:rsidP="00603EC9">
            <w:pPr>
              <w:pStyle w:val="Infotext"/>
              <w:rPr>
                <w:rFonts w:ascii="Arial Black" w:hAnsi="Arial Black" w:cs="Arial"/>
              </w:rPr>
            </w:pPr>
            <w:r w:rsidRPr="00EC0479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EC0479" w:rsidRDefault="00A160B2" w:rsidP="00603EC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Pr="00EC0479" w:rsidRDefault="00A160B2" w:rsidP="00603EC9">
            <w:pPr>
              <w:pStyle w:val="Infotext"/>
            </w:pPr>
          </w:p>
          <w:p w14:paraId="1848CAE4" w14:textId="3A2A2AFE" w:rsidR="00A160B2" w:rsidRPr="00EC0479" w:rsidRDefault="00EC0479" w:rsidP="001C7629">
            <w:pPr>
              <w:pStyle w:val="Infotext"/>
              <w:rPr>
                <w:bCs/>
                <w:szCs w:val="28"/>
              </w:rPr>
            </w:pPr>
            <w:r w:rsidRPr="00EC0479">
              <w:rPr>
                <w:rFonts w:cs="Arial"/>
                <w:bCs/>
                <w:szCs w:val="28"/>
              </w:rPr>
              <w:t>None</w:t>
            </w:r>
          </w:p>
          <w:p w14:paraId="4C232B02" w14:textId="48F4914D" w:rsidR="0082172F" w:rsidRPr="00EC0479" w:rsidRDefault="0082172F" w:rsidP="001A319C">
            <w:pPr>
              <w:pStyle w:val="Infotext"/>
              <w:tabs>
                <w:tab w:val="center" w:pos="2352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18A939CB" w14:textId="7259CE31" w:rsidR="007855AE" w:rsidRPr="008C6054" w:rsidRDefault="007855AE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9"/>
      </w:tblGrid>
      <w:tr w:rsidR="00A160B2" w:rsidRPr="008C6054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Pr="007B3EB8" w:rsidRDefault="00A160B2" w:rsidP="00912904">
            <w:pPr>
              <w:pStyle w:val="Heading2"/>
              <w:spacing w:before="240" w:after="240"/>
            </w:pPr>
            <w:r w:rsidRPr="007B3EB8">
              <w:lastRenderedPageBreak/>
              <w:t>Section 1 – Summary and Recommendations</w:t>
            </w:r>
          </w:p>
        </w:tc>
      </w:tr>
      <w:tr w:rsidR="00A160B2" w:rsidRPr="008C6054" w14:paraId="281F4D12" w14:textId="77777777" w:rsidTr="00AE1441">
        <w:trPr>
          <w:trHeight w:val="3603"/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5BBA795C" w14:textId="2FCB6C45" w:rsidR="00E143A8" w:rsidRDefault="001C7629" w:rsidP="00AE1441">
            <w:pPr>
              <w:jc w:val="both"/>
            </w:pPr>
            <w:r w:rsidRPr="007B3EB8">
              <w:t xml:space="preserve">This report updates the Committee on </w:t>
            </w:r>
            <w:r w:rsidR="00396806" w:rsidRPr="007B3EB8">
              <w:t xml:space="preserve">the </w:t>
            </w:r>
            <w:r w:rsidR="00AB3509" w:rsidRPr="007B3EB8">
              <w:t xml:space="preserve">new </w:t>
            </w:r>
            <w:r w:rsidR="00396806" w:rsidRPr="007B3EB8">
              <w:t xml:space="preserve">Pensions Regulator </w:t>
            </w:r>
            <w:r w:rsidR="00AB3509" w:rsidRPr="007B3EB8">
              <w:t>(TPR)</w:t>
            </w:r>
            <w:r w:rsidR="008321FD" w:rsidRPr="007B3EB8">
              <w:t xml:space="preserve"> Code of Practice </w:t>
            </w:r>
            <w:r w:rsidR="007220D9">
              <w:t xml:space="preserve">(“the Code”) </w:t>
            </w:r>
            <w:r w:rsidR="008321FD" w:rsidRPr="007B3EB8">
              <w:t>issued on 10 January</w:t>
            </w:r>
            <w:r w:rsidR="008E18F1" w:rsidRPr="007B3EB8">
              <w:t xml:space="preserve"> </w:t>
            </w:r>
            <w:r w:rsidR="00493EF3">
              <w:t xml:space="preserve">and </w:t>
            </w:r>
            <w:r w:rsidR="008E18F1" w:rsidRPr="007B3EB8">
              <w:t xml:space="preserve">sets </w:t>
            </w:r>
            <w:r w:rsidR="00493EF3">
              <w:t xml:space="preserve">out </w:t>
            </w:r>
            <w:r w:rsidR="007B3EB8" w:rsidRPr="007B3EB8">
              <w:t>in detail what The Pensions Regulator expects of a scheme that is required to maintain an effective system of governance</w:t>
            </w:r>
            <w:r w:rsidR="00415504">
              <w:t xml:space="preserve"> and internal controls</w:t>
            </w:r>
            <w:r w:rsidR="007B3EB8" w:rsidRPr="007B3EB8">
              <w:t xml:space="preserve">. </w:t>
            </w:r>
          </w:p>
          <w:p w14:paraId="14F96EF0" w14:textId="646A05BC" w:rsidR="00484554" w:rsidRDefault="00F60719" w:rsidP="00AE1441">
            <w:pPr>
              <w:jc w:val="both"/>
            </w:pPr>
            <w:r>
              <w:t xml:space="preserve">Although not all </w:t>
            </w:r>
            <w:r w:rsidR="007B3EB8" w:rsidRPr="007B3EB8">
              <w:t xml:space="preserve">sections of the Code </w:t>
            </w:r>
            <w:r w:rsidR="00FD43D2" w:rsidRPr="007B3EB8">
              <w:t>app</w:t>
            </w:r>
            <w:r w:rsidR="00FD43D2">
              <w:t>ly</w:t>
            </w:r>
            <w:r w:rsidR="007B3EB8" w:rsidRPr="007B3EB8">
              <w:t xml:space="preserve"> to Public Service Pension Schemes like the LGPS</w:t>
            </w:r>
            <w:r>
              <w:t>, the Code replaces Code of Practice 14 (Gover</w:t>
            </w:r>
            <w:r w:rsidR="00601047">
              <w:t>nance and Administration of Public Service Pension Schemes)</w:t>
            </w:r>
            <w:r w:rsidR="00B463D9">
              <w:t xml:space="preserve">. </w:t>
            </w:r>
            <w:r w:rsidR="00E47825">
              <w:t xml:space="preserve"> </w:t>
            </w:r>
          </w:p>
          <w:p w14:paraId="292B7299" w14:textId="3179492F" w:rsidR="001C7629" w:rsidRPr="007B3EB8" w:rsidRDefault="000F656C" w:rsidP="00AE1441">
            <w:pPr>
              <w:jc w:val="both"/>
            </w:pPr>
            <w:r>
              <w:t xml:space="preserve">Two issues of </w:t>
            </w:r>
            <w:proofErr w:type="gramStart"/>
            <w:r>
              <w:t>particular note</w:t>
            </w:r>
            <w:proofErr w:type="gramEnd"/>
            <w:r>
              <w:t xml:space="preserve"> for public service schem</w:t>
            </w:r>
            <w:r w:rsidR="00E072E8">
              <w:t>es, including the LGPS, are the (new) modules on “Cyber Controls”</w:t>
            </w:r>
            <w:r w:rsidR="00173117">
              <w:t xml:space="preserve"> and “Scams”.</w:t>
            </w:r>
            <w:r>
              <w:t xml:space="preserve"> </w:t>
            </w:r>
          </w:p>
          <w:p w14:paraId="07C3E662" w14:textId="35013579" w:rsidR="0001165A" w:rsidRPr="007B3EB8" w:rsidRDefault="0001165A" w:rsidP="00AE1441">
            <w:pPr>
              <w:jc w:val="both"/>
              <w:rPr>
                <w:rFonts w:ascii="Arial Bold" w:hAnsi="Arial Bold"/>
                <w:b/>
                <w:sz w:val="28"/>
              </w:rPr>
            </w:pPr>
          </w:p>
          <w:p w14:paraId="76FC55CC" w14:textId="77777777" w:rsidR="00167994" w:rsidRDefault="00167994" w:rsidP="00AE1441">
            <w:pPr>
              <w:jc w:val="both"/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7B3EB8" w:rsidRDefault="00A160B2" w:rsidP="00AE1441">
            <w:pPr>
              <w:jc w:val="both"/>
              <w:rPr>
                <w:rFonts w:ascii="Arial Bold" w:hAnsi="Arial Bold"/>
                <w:b/>
                <w:sz w:val="28"/>
              </w:rPr>
            </w:pPr>
            <w:r w:rsidRPr="007B3EB8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17BF8068" w:rsidR="00A160B2" w:rsidRPr="007B3EB8" w:rsidRDefault="001C7629" w:rsidP="00AE1441">
            <w:pPr>
              <w:jc w:val="both"/>
            </w:pPr>
            <w:r w:rsidRPr="007B3EB8">
              <w:t xml:space="preserve">The </w:t>
            </w:r>
            <w:r w:rsidRPr="007B3EB8">
              <w:rPr>
                <w:szCs w:val="24"/>
              </w:rPr>
              <w:t xml:space="preserve">Committee is requested </w:t>
            </w:r>
            <w:r w:rsidRPr="007B3EB8">
              <w:rPr>
                <w:rFonts w:cs="Arial"/>
                <w:szCs w:val="24"/>
              </w:rPr>
              <w:t xml:space="preserve">to review and </w:t>
            </w:r>
            <w:r w:rsidR="009513C2">
              <w:rPr>
                <w:rFonts w:cs="Arial"/>
                <w:szCs w:val="24"/>
              </w:rPr>
              <w:t>t</w:t>
            </w:r>
            <w:r w:rsidRPr="007B3EB8">
              <w:rPr>
                <w:rFonts w:cs="Arial"/>
                <w:szCs w:val="24"/>
              </w:rPr>
              <w:t xml:space="preserve">o comment </w:t>
            </w:r>
            <w:r w:rsidR="005309D0" w:rsidRPr="007B3EB8">
              <w:rPr>
                <w:rFonts w:cs="Arial"/>
                <w:szCs w:val="24"/>
              </w:rPr>
              <w:t xml:space="preserve">on this report and note that </w:t>
            </w:r>
            <w:r w:rsidR="00F67AD7" w:rsidRPr="007B3EB8">
              <w:rPr>
                <w:rFonts w:cs="Arial"/>
                <w:szCs w:val="24"/>
              </w:rPr>
              <w:t xml:space="preserve">information on compliance with the General Code of Practice </w:t>
            </w:r>
            <w:r w:rsidR="00140AF9" w:rsidRPr="007B3EB8">
              <w:rPr>
                <w:rFonts w:cs="Arial"/>
                <w:szCs w:val="24"/>
              </w:rPr>
              <w:t>will be provided to future Pension Fund Committee and Board meetings.</w:t>
            </w:r>
          </w:p>
        </w:tc>
      </w:tr>
    </w:tbl>
    <w:p w14:paraId="53DC7DE2" w14:textId="77777777" w:rsidR="002A2389" w:rsidRPr="00F96020" w:rsidRDefault="002A2389" w:rsidP="00A160B2">
      <w:pPr>
        <w:pStyle w:val="Heading2"/>
      </w:pPr>
      <w:r w:rsidRPr="00F96020">
        <w:t>Section 2 – Report</w:t>
      </w:r>
    </w:p>
    <w:p w14:paraId="10D00291" w14:textId="77777777" w:rsidR="00B90671" w:rsidRDefault="00B90671" w:rsidP="001C7629">
      <w:pPr>
        <w:rPr>
          <w:b/>
        </w:rPr>
      </w:pPr>
    </w:p>
    <w:p w14:paraId="474FB052" w14:textId="3172811D" w:rsidR="001C7629" w:rsidRPr="00F96020" w:rsidRDefault="001C7629" w:rsidP="001C7629">
      <w:pPr>
        <w:rPr>
          <w:b/>
        </w:rPr>
      </w:pPr>
      <w:r w:rsidRPr="00F96020">
        <w:rPr>
          <w:b/>
        </w:rPr>
        <w:t>A. Introduction</w:t>
      </w:r>
    </w:p>
    <w:p w14:paraId="572C1A5F" w14:textId="77777777" w:rsidR="001C7629" w:rsidRPr="008C6054" w:rsidRDefault="001C7629" w:rsidP="001C7629">
      <w:pPr>
        <w:rPr>
          <w:highlight w:val="yellow"/>
        </w:rPr>
      </w:pPr>
    </w:p>
    <w:p w14:paraId="51FC8D85" w14:textId="3F8CD49F" w:rsidR="001C7629" w:rsidRDefault="001C7629" w:rsidP="00AE1441">
      <w:pPr>
        <w:numPr>
          <w:ilvl w:val="0"/>
          <w:numId w:val="18"/>
        </w:numPr>
        <w:ind w:left="426" w:hanging="426"/>
        <w:jc w:val="both"/>
      </w:pPr>
      <w:r w:rsidRPr="00DE37D0">
        <w:t xml:space="preserve">This report updates the Committee </w:t>
      </w:r>
      <w:r w:rsidR="00ED1F75" w:rsidRPr="00DE37D0">
        <w:t xml:space="preserve">with details </w:t>
      </w:r>
      <w:r w:rsidR="001F27EE" w:rsidRPr="00DE37D0">
        <w:t>of the Pensions Regulator’s recently published General Code of Practice, expected t</w:t>
      </w:r>
      <w:r w:rsidR="00D05A3A" w:rsidRPr="00DE37D0">
        <w:t>o come into force from 27 March 2024.</w:t>
      </w:r>
      <w:r w:rsidR="00627A9E" w:rsidRPr="00DE37D0">
        <w:t xml:space="preserve"> The </w:t>
      </w:r>
      <w:r w:rsidR="00D34884">
        <w:t xml:space="preserve">new code </w:t>
      </w:r>
      <w:r w:rsidR="00C26C12">
        <w:t xml:space="preserve">replaces 10 of the existing codes of practice. </w:t>
      </w:r>
      <w:r w:rsidR="003906B6">
        <w:t xml:space="preserve">The </w:t>
      </w:r>
      <w:r w:rsidR="00627A9E" w:rsidRPr="00DE37D0">
        <w:t xml:space="preserve">Code </w:t>
      </w:r>
      <w:r w:rsidR="00415504">
        <w:t xml:space="preserve">also </w:t>
      </w:r>
      <w:r w:rsidR="00627A9E" w:rsidRPr="00DE37D0">
        <w:t xml:space="preserve">replaces </w:t>
      </w:r>
      <w:r w:rsidR="002F343E" w:rsidRPr="00DE37D0">
        <w:t xml:space="preserve">the Code of Practice (no.14) for Public Service Pension Schemes. </w:t>
      </w:r>
    </w:p>
    <w:p w14:paraId="0B92B4C2" w14:textId="77777777" w:rsidR="00AE2E5D" w:rsidRDefault="00AE2E5D" w:rsidP="00AE1441">
      <w:pPr>
        <w:jc w:val="both"/>
      </w:pPr>
    </w:p>
    <w:p w14:paraId="6BBE1424" w14:textId="6ED2CB43" w:rsidR="0076284C" w:rsidRDefault="0076284C" w:rsidP="00AE1441">
      <w:pPr>
        <w:numPr>
          <w:ilvl w:val="0"/>
          <w:numId w:val="18"/>
        </w:numPr>
        <w:ind w:left="426" w:hanging="426"/>
        <w:jc w:val="both"/>
      </w:pPr>
      <w:r>
        <w:t xml:space="preserve">The Pensions Regulator </w:t>
      </w:r>
      <w:r w:rsidR="000F2C34">
        <w:t>(TPR) is the UK regulator of workplace pension schemes</w:t>
      </w:r>
      <w:r w:rsidR="00DD00A1">
        <w:t xml:space="preserve">. </w:t>
      </w:r>
      <w:r w:rsidR="0077035B">
        <w:t xml:space="preserve">Whilst it has huge </w:t>
      </w:r>
      <w:r w:rsidR="00DD00A1">
        <w:t>responsibilit</w:t>
      </w:r>
      <w:r w:rsidR="0077035B">
        <w:t xml:space="preserve">ies in </w:t>
      </w:r>
      <w:r w:rsidR="00D7299A">
        <w:t xml:space="preserve">regulating trust-based (private sector) schemes </w:t>
      </w:r>
      <w:r w:rsidR="00CB1218">
        <w:t xml:space="preserve">its role in regulating public services pension schemes such as the Local Government Pensions Scheme </w:t>
      </w:r>
      <w:r w:rsidR="00FE5AA3">
        <w:t xml:space="preserve">(LGPS) </w:t>
      </w:r>
      <w:r w:rsidR="00CB1218">
        <w:t xml:space="preserve">is </w:t>
      </w:r>
      <w:r w:rsidR="00FE5AA3">
        <w:t>more limited but still significant</w:t>
      </w:r>
      <w:r w:rsidR="00FF2FCA">
        <w:t xml:space="preserve"> in respect of g</w:t>
      </w:r>
      <w:r w:rsidR="007F1B9D">
        <w:t>overnance and administration of funds</w:t>
      </w:r>
      <w:r w:rsidR="00FE5AA3">
        <w:t>.</w:t>
      </w:r>
      <w:r w:rsidR="007F1B9D">
        <w:t xml:space="preserve"> </w:t>
      </w:r>
    </w:p>
    <w:p w14:paraId="7A9D2AA7" w14:textId="77777777" w:rsidR="00D2079D" w:rsidRDefault="00D2079D" w:rsidP="00AE1441">
      <w:pPr>
        <w:pStyle w:val="ListParagraph"/>
        <w:jc w:val="both"/>
      </w:pPr>
    </w:p>
    <w:p w14:paraId="630094EB" w14:textId="0C642C4A" w:rsidR="00D2079D" w:rsidRPr="00DC55F6" w:rsidRDefault="00D2079D" w:rsidP="00AE1441">
      <w:pPr>
        <w:numPr>
          <w:ilvl w:val="0"/>
          <w:numId w:val="18"/>
        </w:numPr>
        <w:ind w:left="426" w:hanging="426"/>
        <w:jc w:val="both"/>
      </w:pPr>
      <w:r w:rsidRPr="00DC55F6">
        <w:t xml:space="preserve">TPR has been through an exercise to merge its </w:t>
      </w:r>
      <w:r w:rsidR="000239EA" w:rsidRPr="00DC55F6">
        <w:t>existing codes or practice into a single new code, the General Code of Practice</w:t>
      </w:r>
      <w:r w:rsidR="00BB64E2" w:rsidRPr="00DC55F6">
        <w:t xml:space="preserve">. Consultation on the creation of the general </w:t>
      </w:r>
      <w:r w:rsidR="008E4BDC" w:rsidRPr="00DC55F6">
        <w:t xml:space="preserve">code took place in 2021 and the new General Code of Practice </w:t>
      </w:r>
      <w:r w:rsidR="00B8378B" w:rsidRPr="00DC55F6">
        <w:t xml:space="preserve">was laid in Parliament on 10 January 2024, expected to come into force </w:t>
      </w:r>
      <w:r w:rsidR="00DC55F6" w:rsidRPr="00DC55F6">
        <w:t xml:space="preserve">27 March 2024. </w:t>
      </w:r>
      <w:r w:rsidR="000239EA" w:rsidRPr="00DC55F6">
        <w:t xml:space="preserve"> </w:t>
      </w:r>
    </w:p>
    <w:p w14:paraId="4EC87347" w14:textId="77777777" w:rsidR="002F343E" w:rsidRDefault="002F343E" w:rsidP="002F343E">
      <w:pPr>
        <w:rPr>
          <w:highlight w:val="yellow"/>
        </w:rPr>
      </w:pPr>
    </w:p>
    <w:p w14:paraId="0DBBFA8C" w14:textId="77777777" w:rsidR="00921889" w:rsidRDefault="00921889" w:rsidP="00921889">
      <w:pPr>
        <w:pStyle w:val="ListParagraph"/>
        <w:rPr>
          <w:highlight w:val="yellow"/>
        </w:rPr>
      </w:pPr>
    </w:p>
    <w:p w14:paraId="697E8885" w14:textId="77777777" w:rsidR="00F96020" w:rsidRPr="008C6054" w:rsidRDefault="00F96020" w:rsidP="00921889">
      <w:pPr>
        <w:pStyle w:val="ListParagraph"/>
        <w:rPr>
          <w:highlight w:val="yellow"/>
        </w:rPr>
      </w:pPr>
    </w:p>
    <w:p w14:paraId="7948F999" w14:textId="29AEA04F" w:rsidR="00C24A81" w:rsidRPr="00667E25" w:rsidRDefault="00914538" w:rsidP="00C24A81">
      <w:pPr>
        <w:ind w:left="284" w:hanging="284"/>
        <w:rPr>
          <w:rFonts w:cs="Arial"/>
          <w:sz w:val="28"/>
        </w:rPr>
      </w:pPr>
      <w:r>
        <w:rPr>
          <w:rFonts w:cs="Arial"/>
          <w:b/>
          <w:szCs w:val="24"/>
        </w:rPr>
        <w:t>B</w:t>
      </w:r>
      <w:r w:rsidR="00CC2663" w:rsidRPr="00667E25">
        <w:rPr>
          <w:rFonts w:cs="Arial"/>
          <w:b/>
          <w:szCs w:val="24"/>
        </w:rPr>
        <w:t>.</w:t>
      </w:r>
      <w:r w:rsidR="00C24A81" w:rsidRPr="00667E25">
        <w:rPr>
          <w:rFonts w:cs="Arial"/>
          <w:b/>
          <w:szCs w:val="24"/>
        </w:rPr>
        <w:t xml:space="preserve"> </w:t>
      </w:r>
      <w:r w:rsidR="00891FC4" w:rsidRPr="00667E25">
        <w:rPr>
          <w:rFonts w:cs="Arial"/>
          <w:b/>
          <w:szCs w:val="24"/>
        </w:rPr>
        <w:t>The General Code of Practice</w:t>
      </w:r>
      <w:r w:rsidR="006B793D">
        <w:rPr>
          <w:rFonts w:cs="Arial"/>
          <w:b/>
          <w:szCs w:val="24"/>
        </w:rPr>
        <w:t xml:space="preserve"> </w:t>
      </w:r>
      <w:proofErr w:type="gramStart"/>
      <w:r w:rsidR="006B793D">
        <w:rPr>
          <w:rFonts w:cs="Arial"/>
          <w:b/>
          <w:szCs w:val="24"/>
        </w:rPr>
        <w:t>(“ the</w:t>
      </w:r>
      <w:proofErr w:type="gramEnd"/>
      <w:r w:rsidR="006B793D">
        <w:rPr>
          <w:rFonts w:cs="Arial"/>
          <w:b/>
          <w:szCs w:val="24"/>
        </w:rPr>
        <w:t xml:space="preserve"> Code”)</w:t>
      </w:r>
    </w:p>
    <w:p w14:paraId="1CF83654" w14:textId="77777777" w:rsidR="00C24A81" w:rsidRPr="00667E25" w:rsidRDefault="00C24A81" w:rsidP="00C24A81"/>
    <w:p w14:paraId="7E5FB058" w14:textId="597C9FB8" w:rsidR="001C7629" w:rsidRPr="00AE1441" w:rsidRDefault="002B4A47" w:rsidP="00C24A8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 xml:space="preserve">The following </w:t>
      </w:r>
      <w:r w:rsidR="006B793D" w:rsidRPr="00AE1441">
        <w:rPr>
          <w:szCs w:val="24"/>
        </w:rPr>
        <w:t xml:space="preserve">existing Pension Regulator Codes </w:t>
      </w:r>
      <w:r w:rsidRPr="00AE1441">
        <w:rPr>
          <w:szCs w:val="24"/>
        </w:rPr>
        <w:t xml:space="preserve">have been consolidated into the </w:t>
      </w:r>
      <w:r w:rsidR="00044945" w:rsidRPr="00AE1441">
        <w:rPr>
          <w:szCs w:val="24"/>
        </w:rPr>
        <w:t>new Code of Practice</w:t>
      </w:r>
      <w:r w:rsidR="005A42D4" w:rsidRPr="00AE1441">
        <w:rPr>
          <w:szCs w:val="24"/>
        </w:rPr>
        <w:t>:</w:t>
      </w:r>
    </w:p>
    <w:p w14:paraId="23B41593" w14:textId="526DD0F2" w:rsidR="00676B30" w:rsidRPr="00AE1441" w:rsidRDefault="007C1B7F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Reporting breaches of the Law</w:t>
      </w:r>
    </w:p>
    <w:p w14:paraId="4131759F" w14:textId="1B017759" w:rsidR="007C1B7F" w:rsidRPr="00AE1441" w:rsidRDefault="007C1B7F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Early leavers</w:t>
      </w:r>
    </w:p>
    <w:p w14:paraId="66A48094" w14:textId="699887CD" w:rsidR="007C1B7F" w:rsidRPr="00AE1441" w:rsidRDefault="007C1B7F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lastRenderedPageBreak/>
        <w:t>Late payment of contribution</w:t>
      </w:r>
      <w:r w:rsidR="0098018C" w:rsidRPr="00AE1441">
        <w:rPr>
          <w:sz w:val="24"/>
          <w:szCs w:val="24"/>
        </w:rPr>
        <w:t xml:space="preserve"> (occupational pension scheme)</w:t>
      </w:r>
    </w:p>
    <w:p w14:paraId="325E7132" w14:textId="317D46C3" w:rsidR="0098018C" w:rsidRPr="00AE1441" w:rsidRDefault="0098018C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Late payment of contributions (personal pension schemes)</w:t>
      </w:r>
    </w:p>
    <w:p w14:paraId="71450B2D" w14:textId="4356C90F" w:rsidR="007A595C" w:rsidRPr="00AE1441" w:rsidRDefault="007A595C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Trustee</w:t>
      </w:r>
      <w:r w:rsidR="00E456C4" w:rsidRPr="00AE1441">
        <w:rPr>
          <w:sz w:val="24"/>
          <w:szCs w:val="24"/>
        </w:rPr>
        <w:t xml:space="preserve"> knowledge and understanding</w:t>
      </w:r>
    </w:p>
    <w:p w14:paraId="3DEB6B47" w14:textId="77777777" w:rsidR="008E009A" w:rsidRPr="00AE1441" w:rsidRDefault="00E456C4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Member nominated trustees/member</w:t>
      </w:r>
      <w:r w:rsidR="008E009A" w:rsidRPr="00AE1441">
        <w:rPr>
          <w:sz w:val="24"/>
          <w:szCs w:val="24"/>
        </w:rPr>
        <w:t>-nominated directors putting arrangements in place</w:t>
      </w:r>
    </w:p>
    <w:p w14:paraId="41645067" w14:textId="77777777" w:rsidR="008E009A" w:rsidRPr="00AE1441" w:rsidRDefault="008E009A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Internal controls</w:t>
      </w:r>
    </w:p>
    <w:p w14:paraId="47DD66D8" w14:textId="77777777" w:rsidR="008E009A" w:rsidRPr="00AE1441" w:rsidRDefault="008E009A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Dispute resolution reasonable periods</w:t>
      </w:r>
    </w:p>
    <w:p w14:paraId="6812597B" w14:textId="77777777" w:rsidR="003704BB" w:rsidRPr="00AE1441" w:rsidRDefault="008E009A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 xml:space="preserve">DC Code </w:t>
      </w:r>
    </w:p>
    <w:p w14:paraId="17A4799B" w14:textId="0128AA18" w:rsidR="00E456C4" w:rsidRPr="00AE1441" w:rsidRDefault="003704BB" w:rsidP="007C1B7F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Public service code</w:t>
      </w:r>
      <w:r w:rsidR="00E456C4" w:rsidRPr="00AE1441">
        <w:rPr>
          <w:sz w:val="24"/>
          <w:szCs w:val="24"/>
        </w:rPr>
        <w:t xml:space="preserve"> </w:t>
      </w:r>
    </w:p>
    <w:p w14:paraId="6411A234" w14:textId="77777777" w:rsidR="00C24A81" w:rsidRPr="00AE1441" w:rsidRDefault="00C24A81" w:rsidP="00C24A81">
      <w:pPr>
        <w:ind w:left="426"/>
        <w:jc w:val="both"/>
        <w:rPr>
          <w:szCs w:val="24"/>
          <w:highlight w:val="yellow"/>
        </w:rPr>
      </w:pPr>
    </w:p>
    <w:p w14:paraId="700F434C" w14:textId="28756C7C" w:rsidR="001728B7" w:rsidRPr="00AE1441" w:rsidRDefault="001C7629" w:rsidP="00AE144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>The</w:t>
      </w:r>
      <w:r w:rsidR="00693B96" w:rsidRPr="00AE1441">
        <w:rPr>
          <w:szCs w:val="24"/>
        </w:rPr>
        <w:t xml:space="preserve"> General Code of Practice is divided into five </w:t>
      </w:r>
      <w:r w:rsidR="00C51A1B" w:rsidRPr="00AE1441">
        <w:rPr>
          <w:szCs w:val="24"/>
        </w:rPr>
        <w:t xml:space="preserve">main areas </w:t>
      </w:r>
      <w:r w:rsidR="00693B96" w:rsidRPr="00AE1441">
        <w:rPr>
          <w:szCs w:val="24"/>
        </w:rPr>
        <w:t>below</w:t>
      </w:r>
      <w:r w:rsidR="00B94A06" w:rsidRPr="00AE1441">
        <w:rPr>
          <w:szCs w:val="24"/>
        </w:rPr>
        <w:t xml:space="preserve"> while each </w:t>
      </w:r>
      <w:r w:rsidR="00C51A1B" w:rsidRPr="00AE1441">
        <w:rPr>
          <w:szCs w:val="24"/>
        </w:rPr>
        <w:t xml:space="preserve">area is </w:t>
      </w:r>
      <w:r w:rsidR="00B94A06" w:rsidRPr="00AE1441">
        <w:rPr>
          <w:szCs w:val="24"/>
        </w:rPr>
        <w:t xml:space="preserve">divided </w:t>
      </w:r>
      <w:r w:rsidR="00E10B1F" w:rsidRPr="00AE1441">
        <w:rPr>
          <w:szCs w:val="24"/>
        </w:rPr>
        <w:t>into modules</w:t>
      </w:r>
      <w:r w:rsidR="000E7DEA" w:rsidRPr="00AE1441">
        <w:rPr>
          <w:szCs w:val="24"/>
        </w:rPr>
        <w:t xml:space="preserve"> </w:t>
      </w:r>
      <w:r w:rsidR="00C7291C" w:rsidRPr="00AE1441">
        <w:rPr>
          <w:szCs w:val="24"/>
        </w:rPr>
        <w:t xml:space="preserve">summarised in </w:t>
      </w:r>
      <w:r w:rsidR="000E7DEA" w:rsidRPr="00AE1441">
        <w:rPr>
          <w:szCs w:val="24"/>
        </w:rPr>
        <w:t>(</w:t>
      </w:r>
      <w:r w:rsidR="000E7DEA" w:rsidRPr="00DC44C2">
        <w:rPr>
          <w:szCs w:val="24"/>
        </w:rPr>
        <w:t>para 6 to 11) below</w:t>
      </w:r>
      <w:r w:rsidR="006D3833" w:rsidRPr="00DC44C2">
        <w:rPr>
          <w:szCs w:val="24"/>
        </w:rPr>
        <w:t>.</w:t>
      </w:r>
      <w:r w:rsidR="006D3833" w:rsidRPr="00AE1441">
        <w:rPr>
          <w:szCs w:val="24"/>
        </w:rPr>
        <w:t xml:space="preserve"> </w:t>
      </w:r>
    </w:p>
    <w:p w14:paraId="0151E0CB" w14:textId="31FA72B4" w:rsidR="00C24A81" w:rsidRPr="00AE1441" w:rsidRDefault="005532DF" w:rsidP="00AE1441">
      <w:pPr>
        <w:ind w:left="426"/>
        <w:jc w:val="both"/>
        <w:rPr>
          <w:szCs w:val="24"/>
        </w:rPr>
      </w:pPr>
      <w:r w:rsidRPr="00AE1441">
        <w:rPr>
          <w:szCs w:val="24"/>
        </w:rPr>
        <w:t xml:space="preserve">Not </w:t>
      </w:r>
      <w:r w:rsidR="00724D64" w:rsidRPr="00AE1441">
        <w:rPr>
          <w:szCs w:val="24"/>
        </w:rPr>
        <w:t xml:space="preserve">all directly apply to the LGPS but where this is the case, compliance will usually be viewed as </w:t>
      </w:r>
      <w:r w:rsidR="002A01D1" w:rsidRPr="00AE1441">
        <w:rPr>
          <w:szCs w:val="24"/>
        </w:rPr>
        <w:t>‘</w:t>
      </w:r>
      <w:r w:rsidR="00724D64" w:rsidRPr="00AE1441">
        <w:rPr>
          <w:szCs w:val="24"/>
        </w:rPr>
        <w:t>best practice</w:t>
      </w:r>
      <w:r w:rsidR="002A01D1" w:rsidRPr="00AE1441">
        <w:rPr>
          <w:szCs w:val="24"/>
        </w:rPr>
        <w:t>’ by TPR</w:t>
      </w:r>
      <w:r w:rsidR="00987933" w:rsidRPr="00AE1441">
        <w:rPr>
          <w:szCs w:val="24"/>
        </w:rPr>
        <w:t>.</w:t>
      </w:r>
    </w:p>
    <w:p w14:paraId="78B0ED54" w14:textId="77777777" w:rsidR="00C51829" w:rsidRPr="00AE1441" w:rsidRDefault="00C51829" w:rsidP="00AE1441">
      <w:pPr>
        <w:jc w:val="both"/>
        <w:rPr>
          <w:szCs w:val="24"/>
        </w:rPr>
      </w:pPr>
    </w:p>
    <w:p w14:paraId="11AF15A1" w14:textId="04850DD8" w:rsidR="006D3833" w:rsidRPr="00AE1441" w:rsidRDefault="00C51829" w:rsidP="00AE144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>The governing body</w:t>
      </w:r>
      <w:r w:rsidR="002C62F1" w:rsidRPr="00AE1441">
        <w:rPr>
          <w:szCs w:val="24"/>
        </w:rPr>
        <w:t xml:space="preserve"> (governance)</w:t>
      </w:r>
    </w:p>
    <w:p w14:paraId="4088C088" w14:textId="64013168" w:rsidR="00B5092B" w:rsidRPr="00AE1441" w:rsidRDefault="005A36DB" w:rsidP="00AE1441">
      <w:pPr>
        <w:ind w:left="426"/>
        <w:jc w:val="both"/>
        <w:rPr>
          <w:szCs w:val="24"/>
        </w:rPr>
      </w:pPr>
      <w:r w:rsidRPr="00AE1441">
        <w:rPr>
          <w:szCs w:val="24"/>
        </w:rPr>
        <w:t xml:space="preserve">The Code provides increased clarity on the definition of the </w:t>
      </w:r>
      <w:r w:rsidR="00283C9F" w:rsidRPr="00AE1441">
        <w:rPr>
          <w:szCs w:val="24"/>
        </w:rPr>
        <w:t>governing body for Public Service Pension Schemes including the LGPS. This is confirmed to be the scheme manager</w:t>
      </w:r>
      <w:r w:rsidR="00FD5611" w:rsidRPr="00AE1441">
        <w:rPr>
          <w:szCs w:val="24"/>
        </w:rPr>
        <w:t>.</w:t>
      </w:r>
      <w:r w:rsidR="005F5EA4" w:rsidRPr="00AE1441">
        <w:rPr>
          <w:szCs w:val="24"/>
        </w:rPr>
        <w:t xml:space="preserve"> The Code outlines </w:t>
      </w:r>
      <w:r w:rsidR="000B39BD" w:rsidRPr="00AE1441">
        <w:rPr>
          <w:szCs w:val="24"/>
        </w:rPr>
        <w:t xml:space="preserve">the terms </w:t>
      </w:r>
      <w:r w:rsidR="00841E0F" w:rsidRPr="00AE1441">
        <w:rPr>
          <w:szCs w:val="24"/>
        </w:rPr>
        <w:t xml:space="preserve">which </w:t>
      </w:r>
      <w:r w:rsidR="00446EFB" w:rsidRPr="00AE1441">
        <w:rPr>
          <w:szCs w:val="24"/>
        </w:rPr>
        <w:t>will need to be included in written meeting records.</w:t>
      </w:r>
      <w:r w:rsidR="00B5092B" w:rsidRPr="00AE1441">
        <w:rPr>
          <w:szCs w:val="24"/>
        </w:rPr>
        <w:t xml:space="preserve"> </w:t>
      </w:r>
    </w:p>
    <w:p w14:paraId="7305C8C5" w14:textId="77777777" w:rsidR="00C27F03" w:rsidRPr="00AE1441" w:rsidRDefault="00C27F03" w:rsidP="00AE1441">
      <w:pPr>
        <w:ind w:left="426"/>
        <w:jc w:val="both"/>
        <w:rPr>
          <w:szCs w:val="24"/>
        </w:rPr>
      </w:pPr>
    </w:p>
    <w:p w14:paraId="6E759ED6" w14:textId="704849EB" w:rsidR="00012C71" w:rsidRPr="00C27F03" w:rsidRDefault="00C27F03" w:rsidP="00AE144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 xml:space="preserve">Within the governance </w:t>
      </w:r>
      <w:r w:rsidR="005A3555" w:rsidRPr="00AE1441">
        <w:rPr>
          <w:szCs w:val="24"/>
        </w:rPr>
        <w:t>area of the Code</w:t>
      </w:r>
      <w:r w:rsidRPr="00AE1441">
        <w:rPr>
          <w:szCs w:val="24"/>
        </w:rPr>
        <w:t xml:space="preserve">, </w:t>
      </w:r>
      <w:r w:rsidR="00BE1756" w:rsidRPr="00AE1441">
        <w:rPr>
          <w:szCs w:val="24"/>
        </w:rPr>
        <w:t>there are areas of good practice</w:t>
      </w:r>
      <w:r w:rsidR="007E0D52" w:rsidRPr="00AE1441">
        <w:rPr>
          <w:szCs w:val="24"/>
        </w:rPr>
        <w:t xml:space="preserve"> in respect of </w:t>
      </w:r>
      <w:r w:rsidR="007468FC" w:rsidRPr="00AE1441">
        <w:rPr>
          <w:szCs w:val="24"/>
        </w:rPr>
        <w:t>scheme continuity planning</w:t>
      </w:r>
      <w:r w:rsidR="005D3D79" w:rsidRPr="00C27F03">
        <w:rPr>
          <w:szCs w:val="24"/>
        </w:rPr>
        <w:t xml:space="preserve"> and cyber security.</w:t>
      </w:r>
    </w:p>
    <w:p w14:paraId="50CF84A6" w14:textId="1C209214" w:rsidR="00B5092B" w:rsidRDefault="00796D4D" w:rsidP="00AE1441">
      <w:pPr>
        <w:ind w:left="426"/>
        <w:jc w:val="both"/>
        <w:rPr>
          <w:szCs w:val="24"/>
        </w:rPr>
      </w:pPr>
      <w:r>
        <w:rPr>
          <w:szCs w:val="24"/>
        </w:rPr>
        <w:t xml:space="preserve">Schemes are </w:t>
      </w:r>
      <w:r w:rsidR="00477344">
        <w:rPr>
          <w:szCs w:val="24"/>
        </w:rPr>
        <w:t>expected to iden</w:t>
      </w:r>
      <w:r w:rsidR="00D26FF6">
        <w:rPr>
          <w:szCs w:val="24"/>
        </w:rPr>
        <w:t xml:space="preserve">tify the key governance risks facing the scheme </w:t>
      </w:r>
      <w:r w:rsidR="00534E65">
        <w:rPr>
          <w:szCs w:val="24"/>
        </w:rPr>
        <w:t xml:space="preserve">and </w:t>
      </w:r>
      <w:r>
        <w:rPr>
          <w:szCs w:val="24"/>
        </w:rPr>
        <w:t>T</w:t>
      </w:r>
      <w:r w:rsidR="00534E65">
        <w:rPr>
          <w:szCs w:val="24"/>
        </w:rPr>
        <w:t xml:space="preserve">PR states that governing bodies should incorporate findings into its management and </w:t>
      </w:r>
      <w:r w:rsidR="000E7DEA">
        <w:rPr>
          <w:szCs w:val="24"/>
        </w:rPr>
        <w:t>decision-making</w:t>
      </w:r>
      <w:r w:rsidR="00534E65">
        <w:rPr>
          <w:szCs w:val="24"/>
        </w:rPr>
        <w:t xml:space="preserve"> processes.</w:t>
      </w:r>
      <w:r w:rsidR="00477344">
        <w:rPr>
          <w:szCs w:val="24"/>
        </w:rPr>
        <w:t xml:space="preserve"> </w:t>
      </w:r>
      <w:r w:rsidR="00012C71">
        <w:rPr>
          <w:szCs w:val="24"/>
        </w:rPr>
        <w:t xml:space="preserve"> </w:t>
      </w:r>
      <w:r w:rsidR="007E0D52">
        <w:rPr>
          <w:szCs w:val="24"/>
        </w:rPr>
        <w:t xml:space="preserve"> </w:t>
      </w:r>
    </w:p>
    <w:p w14:paraId="2B521E14" w14:textId="77777777" w:rsidR="002C62F1" w:rsidRPr="00AE1441" w:rsidRDefault="002C62F1" w:rsidP="00AE1441">
      <w:pPr>
        <w:pStyle w:val="ListParagraph"/>
        <w:jc w:val="both"/>
        <w:rPr>
          <w:sz w:val="24"/>
          <w:szCs w:val="24"/>
        </w:rPr>
      </w:pPr>
    </w:p>
    <w:p w14:paraId="748F045E" w14:textId="7C14A111" w:rsidR="005A36DB" w:rsidRPr="00AE1441" w:rsidRDefault="002C62F1" w:rsidP="00AE144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 xml:space="preserve">The governance </w:t>
      </w:r>
      <w:r w:rsidR="005A3555" w:rsidRPr="00AE1441">
        <w:rPr>
          <w:szCs w:val="24"/>
        </w:rPr>
        <w:t xml:space="preserve">section of the Code </w:t>
      </w:r>
      <w:r w:rsidR="00FD5611" w:rsidRPr="00AE1441">
        <w:rPr>
          <w:szCs w:val="24"/>
        </w:rPr>
        <w:t>is further broken down into</w:t>
      </w:r>
      <w:r w:rsidR="009B56D7" w:rsidRPr="00AE1441">
        <w:rPr>
          <w:szCs w:val="24"/>
        </w:rPr>
        <w:t xml:space="preserve"> </w:t>
      </w:r>
      <w:r w:rsidR="00B36D13" w:rsidRPr="00AE1441">
        <w:rPr>
          <w:szCs w:val="24"/>
        </w:rPr>
        <w:t>sections covering</w:t>
      </w:r>
      <w:r w:rsidR="00FD5611" w:rsidRPr="00AE1441">
        <w:rPr>
          <w:szCs w:val="24"/>
        </w:rPr>
        <w:t>:</w:t>
      </w:r>
      <w:r w:rsidR="00283C9F" w:rsidRPr="00AE1441">
        <w:rPr>
          <w:szCs w:val="24"/>
        </w:rPr>
        <w:t xml:space="preserve">  </w:t>
      </w:r>
    </w:p>
    <w:p w14:paraId="43395109" w14:textId="77777777" w:rsidR="00EA4F64" w:rsidRPr="00AE1441" w:rsidRDefault="00987933" w:rsidP="00987933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Meetings and deci</w:t>
      </w:r>
      <w:r w:rsidR="00EA4F64" w:rsidRPr="00AE1441">
        <w:rPr>
          <w:sz w:val="24"/>
          <w:szCs w:val="24"/>
        </w:rPr>
        <w:t>sion-making</w:t>
      </w:r>
    </w:p>
    <w:p w14:paraId="450F8500" w14:textId="77777777" w:rsidR="00EA4F64" w:rsidRPr="00AE1441" w:rsidRDefault="00EA4F64" w:rsidP="00987933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Renumeration and fee policy</w:t>
      </w:r>
    </w:p>
    <w:p w14:paraId="7B3CE131" w14:textId="77777777" w:rsidR="00624097" w:rsidRPr="00AE1441" w:rsidRDefault="00EA4F64" w:rsidP="00987933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Managing advisers and s</w:t>
      </w:r>
      <w:r w:rsidR="00624097" w:rsidRPr="00AE1441">
        <w:rPr>
          <w:sz w:val="24"/>
          <w:szCs w:val="24"/>
        </w:rPr>
        <w:t>ervice providers</w:t>
      </w:r>
    </w:p>
    <w:p w14:paraId="0527827D" w14:textId="77777777" w:rsidR="00624097" w:rsidRPr="00AE1441" w:rsidRDefault="00624097" w:rsidP="00987933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Scheme continuity planning</w:t>
      </w:r>
    </w:p>
    <w:p w14:paraId="2D86EDB1" w14:textId="77777777" w:rsidR="009C3DE6" w:rsidRPr="00AE1441" w:rsidRDefault="00624097" w:rsidP="00987933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 xml:space="preserve">Own risk assessment </w:t>
      </w:r>
    </w:p>
    <w:p w14:paraId="5C7EECB4" w14:textId="77777777" w:rsidR="002C62F1" w:rsidRPr="00AE1441" w:rsidRDefault="002C62F1" w:rsidP="002C62F1">
      <w:pPr>
        <w:pStyle w:val="ListParagraph"/>
        <w:rPr>
          <w:sz w:val="24"/>
          <w:szCs w:val="24"/>
        </w:rPr>
      </w:pPr>
    </w:p>
    <w:p w14:paraId="0C4B92AE" w14:textId="03F1E77D" w:rsidR="002C62F1" w:rsidRPr="00AE1441" w:rsidRDefault="007875D0" w:rsidP="002C62F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 xml:space="preserve">Funding and investment </w:t>
      </w:r>
    </w:p>
    <w:p w14:paraId="34342D62" w14:textId="6B0179D6" w:rsidR="00642F09" w:rsidRPr="00AE1441" w:rsidRDefault="00642F09" w:rsidP="00642F09">
      <w:pPr>
        <w:ind w:left="426"/>
        <w:jc w:val="both"/>
        <w:rPr>
          <w:szCs w:val="24"/>
        </w:rPr>
      </w:pPr>
      <w:r w:rsidRPr="00AE1441">
        <w:rPr>
          <w:szCs w:val="24"/>
        </w:rPr>
        <w:t>The Code contains good practice on investments for Public Service Pension Schemes</w:t>
      </w:r>
      <w:r w:rsidR="00CD5EDA" w:rsidRPr="00AE1441">
        <w:rPr>
          <w:szCs w:val="24"/>
        </w:rPr>
        <w:t xml:space="preserve">, including investment governance, investment monitoring and climate change. </w:t>
      </w:r>
      <w:r w:rsidR="00963D9A" w:rsidRPr="00AE1441">
        <w:rPr>
          <w:szCs w:val="24"/>
        </w:rPr>
        <w:t xml:space="preserve">TPR states the scheme managers of Local Government Pension Schemes do not have the same obligations in pensions legislation, but it is good practice </w:t>
      </w:r>
      <w:r w:rsidR="000345F8" w:rsidRPr="00AE1441">
        <w:rPr>
          <w:szCs w:val="24"/>
        </w:rPr>
        <w:t>for them to approach investment governance and monitoring in the same way.</w:t>
      </w:r>
    </w:p>
    <w:p w14:paraId="36DB038F" w14:textId="6832CD63" w:rsidR="009C3DE6" w:rsidRPr="00AE1441" w:rsidRDefault="00A318CB" w:rsidP="009C3DE6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Investment governance</w:t>
      </w:r>
    </w:p>
    <w:p w14:paraId="5602A667" w14:textId="70CB122F" w:rsidR="00A318CB" w:rsidRPr="00AE1441" w:rsidRDefault="00A318CB" w:rsidP="009C3DE6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Investment monitoring</w:t>
      </w:r>
    </w:p>
    <w:p w14:paraId="517AFC0B" w14:textId="4867F309" w:rsidR="00A318CB" w:rsidRPr="00AE1441" w:rsidRDefault="00A318CB" w:rsidP="009C3DE6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Climate change</w:t>
      </w:r>
    </w:p>
    <w:p w14:paraId="03CFDB1A" w14:textId="77777777" w:rsidR="009C3DE6" w:rsidRPr="00AE1441" w:rsidRDefault="009C3DE6" w:rsidP="009C3DE6">
      <w:pPr>
        <w:jc w:val="both"/>
        <w:rPr>
          <w:szCs w:val="24"/>
        </w:rPr>
      </w:pPr>
    </w:p>
    <w:p w14:paraId="13F8E853" w14:textId="77777777" w:rsidR="002C62F1" w:rsidRPr="00AE1441" w:rsidRDefault="002C62F1" w:rsidP="002C62F1">
      <w:pPr>
        <w:pStyle w:val="ListParagraph"/>
        <w:rPr>
          <w:sz w:val="24"/>
          <w:szCs w:val="24"/>
        </w:rPr>
      </w:pPr>
    </w:p>
    <w:p w14:paraId="4EF57C1D" w14:textId="0C24E68F" w:rsidR="002C62F1" w:rsidRPr="00AE1441" w:rsidRDefault="00283A4A" w:rsidP="002C62F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 xml:space="preserve">Administration </w:t>
      </w:r>
    </w:p>
    <w:p w14:paraId="2127939E" w14:textId="5526BF05" w:rsidR="00283A4A" w:rsidRPr="00AE1441" w:rsidRDefault="00283A4A" w:rsidP="00283A4A">
      <w:pPr>
        <w:ind w:left="426"/>
        <w:jc w:val="both"/>
        <w:rPr>
          <w:szCs w:val="24"/>
        </w:rPr>
      </w:pPr>
      <w:r w:rsidRPr="00AE1441">
        <w:rPr>
          <w:szCs w:val="24"/>
        </w:rPr>
        <w:t xml:space="preserve">TPR introduced </w:t>
      </w:r>
      <w:proofErr w:type="gramStart"/>
      <w:r w:rsidRPr="00AE1441">
        <w:rPr>
          <w:szCs w:val="24"/>
        </w:rPr>
        <w:t>a number of</w:t>
      </w:r>
      <w:proofErr w:type="gramEnd"/>
      <w:r w:rsidRPr="00AE1441">
        <w:rPr>
          <w:szCs w:val="24"/>
        </w:rPr>
        <w:t xml:space="preserve"> new administration modules</w:t>
      </w:r>
      <w:r w:rsidR="00C84B52" w:rsidRPr="00AE1441">
        <w:rPr>
          <w:szCs w:val="24"/>
        </w:rPr>
        <w:t xml:space="preserve">. Although not </w:t>
      </w:r>
      <w:r w:rsidR="00DB598B" w:rsidRPr="00AE1441">
        <w:rPr>
          <w:szCs w:val="24"/>
        </w:rPr>
        <w:t xml:space="preserve">entirely </w:t>
      </w:r>
      <w:r w:rsidR="00C84B52" w:rsidRPr="00AE1441">
        <w:rPr>
          <w:szCs w:val="24"/>
        </w:rPr>
        <w:t xml:space="preserve">new to Local Government Pension Schemes </w:t>
      </w:r>
      <w:r w:rsidR="00201383" w:rsidRPr="00AE1441">
        <w:rPr>
          <w:szCs w:val="24"/>
        </w:rPr>
        <w:t xml:space="preserve">due to </w:t>
      </w:r>
      <w:r w:rsidR="00DB598B" w:rsidRPr="00AE1441">
        <w:rPr>
          <w:szCs w:val="24"/>
        </w:rPr>
        <w:t xml:space="preserve">Scheme Advisory Board </w:t>
      </w:r>
      <w:r w:rsidR="00201383" w:rsidRPr="00AE1441">
        <w:rPr>
          <w:szCs w:val="24"/>
        </w:rPr>
        <w:t xml:space="preserve">Good Governance </w:t>
      </w:r>
      <w:r w:rsidR="000A2291" w:rsidRPr="00AE1441">
        <w:rPr>
          <w:szCs w:val="24"/>
        </w:rPr>
        <w:t>project</w:t>
      </w:r>
      <w:r w:rsidR="006C7DA9" w:rsidRPr="00AE1441">
        <w:rPr>
          <w:szCs w:val="24"/>
        </w:rPr>
        <w:t xml:space="preserve"> phases </w:t>
      </w:r>
      <w:r w:rsidR="001C67BD" w:rsidRPr="00AE1441">
        <w:rPr>
          <w:szCs w:val="24"/>
        </w:rPr>
        <w:t>I to III,</w:t>
      </w:r>
      <w:r w:rsidR="00201383" w:rsidRPr="00AE1441">
        <w:rPr>
          <w:szCs w:val="24"/>
        </w:rPr>
        <w:t xml:space="preserve"> the Code</w:t>
      </w:r>
      <w:r w:rsidR="00B70382" w:rsidRPr="00AE1441">
        <w:rPr>
          <w:szCs w:val="24"/>
        </w:rPr>
        <w:t xml:space="preserve"> outlines that Governing bodies of pension schemes should take steps to reduce the risks of incidents occurring, and appropriately manage </w:t>
      </w:r>
      <w:r w:rsidR="00D84B42" w:rsidRPr="00AE1441">
        <w:rPr>
          <w:szCs w:val="24"/>
        </w:rPr>
        <w:t xml:space="preserve">any incidents that arise. </w:t>
      </w:r>
      <w:r w:rsidR="004C603C" w:rsidRPr="00AE1441">
        <w:rPr>
          <w:szCs w:val="24"/>
        </w:rPr>
        <w:t xml:space="preserve">Although listed </w:t>
      </w:r>
      <w:r w:rsidR="00A10EA4" w:rsidRPr="00AE1441">
        <w:rPr>
          <w:szCs w:val="24"/>
        </w:rPr>
        <w:t>as a</w:t>
      </w:r>
      <w:r w:rsidR="00D84B42" w:rsidRPr="00AE1441">
        <w:rPr>
          <w:szCs w:val="24"/>
        </w:rPr>
        <w:t xml:space="preserve"> good practice</w:t>
      </w:r>
      <w:r w:rsidR="00A10EA4" w:rsidRPr="00AE1441">
        <w:rPr>
          <w:szCs w:val="24"/>
        </w:rPr>
        <w:t>,</w:t>
      </w:r>
      <w:r w:rsidR="00D84B42" w:rsidRPr="00AE1441">
        <w:rPr>
          <w:szCs w:val="24"/>
        </w:rPr>
        <w:t xml:space="preserve"> it does not clearly </w:t>
      </w:r>
      <w:r w:rsidR="00AA59E7" w:rsidRPr="00AE1441">
        <w:rPr>
          <w:szCs w:val="24"/>
        </w:rPr>
        <w:t>set out the legal requirements for all Public Service Pension Schemes relating to internal controls</w:t>
      </w:r>
      <w:r w:rsidR="00C73D0E" w:rsidRPr="00AE1441">
        <w:rPr>
          <w:szCs w:val="24"/>
        </w:rPr>
        <w:t>:</w:t>
      </w:r>
    </w:p>
    <w:p w14:paraId="136F32AE" w14:textId="77777777" w:rsidR="00283A4A" w:rsidRPr="00AE1441" w:rsidRDefault="00283A4A" w:rsidP="00283A4A">
      <w:pPr>
        <w:ind w:left="720"/>
        <w:jc w:val="both"/>
        <w:rPr>
          <w:szCs w:val="24"/>
        </w:rPr>
      </w:pPr>
    </w:p>
    <w:p w14:paraId="6B3DAD6E" w14:textId="483997D0" w:rsidR="00C048B9" w:rsidRPr="00AE1441" w:rsidRDefault="00C048B9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Planning and maintaining administration</w:t>
      </w:r>
    </w:p>
    <w:p w14:paraId="661D3A7E" w14:textId="6B0D0769" w:rsidR="00C048B9" w:rsidRPr="00AE1441" w:rsidRDefault="00C048B9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Financial transactions</w:t>
      </w:r>
    </w:p>
    <w:p w14:paraId="1D538D98" w14:textId="63D8B656" w:rsidR="00C048B9" w:rsidRPr="00AE1441" w:rsidRDefault="00C048B9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Transfers out</w:t>
      </w:r>
    </w:p>
    <w:p w14:paraId="7477F53A" w14:textId="51E572A2" w:rsidR="00C048B9" w:rsidRPr="00AE1441" w:rsidRDefault="00C048B9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Record</w:t>
      </w:r>
      <w:r w:rsidR="008351D7" w:rsidRPr="00AE1441">
        <w:rPr>
          <w:sz w:val="24"/>
          <w:szCs w:val="24"/>
        </w:rPr>
        <w:t>-keeping</w:t>
      </w:r>
    </w:p>
    <w:p w14:paraId="3BA5EF1C" w14:textId="3D8A703E" w:rsidR="008351D7" w:rsidRPr="00AE1441" w:rsidRDefault="008351D7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Data monitoring and improvement</w:t>
      </w:r>
      <w:r w:rsidR="00052E8B" w:rsidRPr="00AE1441">
        <w:rPr>
          <w:sz w:val="24"/>
          <w:szCs w:val="24"/>
        </w:rPr>
        <w:t xml:space="preserve"> </w:t>
      </w:r>
    </w:p>
    <w:p w14:paraId="46408A7A" w14:textId="77777777" w:rsidR="00DB7200" w:rsidRPr="00AE1441" w:rsidRDefault="00DB7200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Maintenance of IT systems</w:t>
      </w:r>
    </w:p>
    <w:p w14:paraId="211B2771" w14:textId="77777777" w:rsidR="00232108" w:rsidRPr="00AE1441" w:rsidRDefault="00DB7200" w:rsidP="00C048B9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Cyber controls</w:t>
      </w:r>
    </w:p>
    <w:p w14:paraId="4724C2F2" w14:textId="77777777" w:rsidR="00232108" w:rsidRPr="00AE1441" w:rsidRDefault="00232108" w:rsidP="00232108">
      <w:pPr>
        <w:jc w:val="both"/>
        <w:rPr>
          <w:szCs w:val="24"/>
        </w:rPr>
      </w:pPr>
    </w:p>
    <w:p w14:paraId="71EA5478" w14:textId="77777777" w:rsidR="002C62F1" w:rsidRPr="00AE1441" w:rsidRDefault="002C62F1" w:rsidP="002C62F1">
      <w:pPr>
        <w:pStyle w:val="ListParagraph"/>
        <w:rPr>
          <w:sz w:val="24"/>
          <w:szCs w:val="24"/>
        </w:rPr>
      </w:pPr>
    </w:p>
    <w:p w14:paraId="45B77CF3" w14:textId="5C74F728" w:rsidR="002C62F1" w:rsidRPr="00AE1441" w:rsidRDefault="00052E8B" w:rsidP="002C62F1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AE1441">
        <w:rPr>
          <w:szCs w:val="24"/>
        </w:rPr>
        <w:t xml:space="preserve">Communication and disclosure </w:t>
      </w:r>
    </w:p>
    <w:p w14:paraId="3AC4C636" w14:textId="36FDA219" w:rsidR="00F85D0E" w:rsidRPr="00AE1441" w:rsidRDefault="009643E8" w:rsidP="00232108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General principles for member communications</w:t>
      </w:r>
    </w:p>
    <w:p w14:paraId="32C1F6B1" w14:textId="2FCDC49D" w:rsidR="009643E8" w:rsidRPr="00AE1441" w:rsidRDefault="009643E8" w:rsidP="00232108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Scams</w:t>
      </w:r>
    </w:p>
    <w:p w14:paraId="3130688F" w14:textId="77777777" w:rsidR="00F85D0E" w:rsidRPr="00AE1441" w:rsidRDefault="00F85D0E" w:rsidP="009C3DE6">
      <w:pPr>
        <w:jc w:val="both"/>
        <w:rPr>
          <w:szCs w:val="24"/>
        </w:rPr>
      </w:pPr>
    </w:p>
    <w:p w14:paraId="049C3A55" w14:textId="77777777" w:rsidR="00914538" w:rsidRPr="00AE1441" w:rsidRDefault="00914538" w:rsidP="009C3DE6">
      <w:pPr>
        <w:jc w:val="both"/>
        <w:rPr>
          <w:szCs w:val="24"/>
        </w:rPr>
      </w:pPr>
    </w:p>
    <w:p w14:paraId="53041610" w14:textId="77777777" w:rsidR="00914538" w:rsidRPr="00030E4F" w:rsidRDefault="00914538" w:rsidP="00914538">
      <w:pPr>
        <w:ind w:left="1266"/>
      </w:pPr>
    </w:p>
    <w:p w14:paraId="5ECF3389" w14:textId="2F8F4875" w:rsidR="00914538" w:rsidRPr="00030E4F" w:rsidRDefault="008819CC" w:rsidP="00914538">
      <w:pPr>
        <w:rPr>
          <w:b/>
        </w:rPr>
      </w:pPr>
      <w:r w:rsidRPr="00030E4F">
        <w:rPr>
          <w:b/>
        </w:rPr>
        <w:t>C</w:t>
      </w:r>
      <w:r w:rsidR="00914538" w:rsidRPr="00030E4F">
        <w:rPr>
          <w:b/>
        </w:rPr>
        <w:t xml:space="preserve">. </w:t>
      </w:r>
      <w:r w:rsidRPr="00030E4F">
        <w:rPr>
          <w:b/>
        </w:rPr>
        <w:t>Applicability of the General Code to the LGPS</w:t>
      </w:r>
    </w:p>
    <w:p w14:paraId="4DF8F2CC" w14:textId="77777777" w:rsidR="00914538" w:rsidRPr="00030E4F" w:rsidRDefault="00914538" w:rsidP="00914538">
      <w:pPr>
        <w:rPr>
          <w:b/>
        </w:rPr>
      </w:pPr>
    </w:p>
    <w:p w14:paraId="628768C1" w14:textId="2B583EB3" w:rsidR="00914538" w:rsidRPr="00030E4F" w:rsidRDefault="008819CC" w:rsidP="00914538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030E4F">
        <w:rPr>
          <w:szCs w:val="24"/>
        </w:rPr>
        <w:t>As stated above</w:t>
      </w:r>
      <w:r w:rsidR="006D4333">
        <w:rPr>
          <w:szCs w:val="24"/>
        </w:rPr>
        <w:t>,</w:t>
      </w:r>
      <w:r w:rsidRPr="00030E4F">
        <w:rPr>
          <w:szCs w:val="24"/>
        </w:rPr>
        <w:t xml:space="preserve"> not </w:t>
      </w:r>
      <w:proofErr w:type="gramStart"/>
      <w:r w:rsidRPr="00030E4F">
        <w:rPr>
          <w:szCs w:val="24"/>
        </w:rPr>
        <w:t xml:space="preserve">all </w:t>
      </w:r>
      <w:r w:rsidR="00190CD6" w:rsidRPr="00030E4F">
        <w:rPr>
          <w:szCs w:val="24"/>
        </w:rPr>
        <w:t>of</w:t>
      </w:r>
      <w:proofErr w:type="gramEnd"/>
      <w:r w:rsidR="00190CD6" w:rsidRPr="00030E4F">
        <w:rPr>
          <w:szCs w:val="24"/>
        </w:rPr>
        <w:t xml:space="preserve"> the General Code applies to the LGPS, within the General Code</w:t>
      </w:r>
      <w:r w:rsidR="007E0B61">
        <w:rPr>
          <w:szCs w:val="24"/>
        </w:rPr>
        <w:t>,</w:t>
      </w:r>
      <w:r w:rsidR="00190CD6" w:rsidRPr="00030E4F">
        <w:rPr>
          <w:szCs w:val="24"/>
        </w:rPr>
        <w:t xml:space="preserve"> TPR makes reference</w:t>
      </w:r>
      <w:r w:rsidR="00916AF2" w:rsidRPr="00030E4F">
        <w:rPr>
          <w:szCs w:val="24"/>
        </w:rPr>
        <w:t>s which seek to indicate the applicability of the contents of the Code to different schemes and which provide some clarity</w:t>
      </w:r>
      <w:r w:rsidR="00EB364D" w:rsidRPr="00030E4F">
        <w:rPr>
          <w:szCs w:val="24"/>
        </w:rPr>
        <w:t>.</w:t>
      </w:r>
      <w:r w:rsidR="00914538" w:rsidRPr="00030E4F">
        <w:rPr>
          <w:szCs w:val="24"/>
        </w:rPr>
        <w:t xml:space="preserve"> </w:t>
      </w:r>
    </w:p>
    <w:p w14:paraId="7FCA9C7C" w14:textId="77777777" w:rsidR="00914538" w:rsidRPr="00030E4F" w:rsidRDefault="00914538" w:rsidP="00914538">
      <w:pPr>
        <w:pStyle w:val="ListParagraph"/>
      </w:pPr>
    </w:p>
    <w:p w14:paraId="4BC3E51B" w14:textId="77777777" w:rsidR="007E0B61" w:rsidRPr="007E0B61" w:rsidRDefault="00EB364D" w:rsidP="006349CF">
      <w:pPr>
        <w:numPr>
          <w:ilvl w:val="0"/>
          <w:numId w:val="18"/>
        </w:numPr>
        <w:ind w:left="426" w:hanging="426"/>
        <w:jc w:val="both"/>
        <w:rPr>
          <w:i/>
          <w:iCs/>
          <w:szCs w:val="24"/>
        </w:rPr>
      </w:pPr>
      <w:r w:rsidRPr="00030E4F">
        <w:t>However, these references are not sufficient to define in all cases exactly which of the numerous requirements of the Code apply to the LGPS</w:t>
      </w:r>
      <w:r w:rsidR="008F4186" w:rsidRPr="00030E4F">
        <w:t xml:space="preserve">. </w:t>
      </w:r>
    </w:p>
    <w:p w14:paraId="3539154D" w14:textId="77777777" w:rsidR="007E0B61" w:rsidRDefault="007E0B61" w:rsidP="007E0B61">
      <w:pPr>
        <w:pStyle w:val="ListParagraph"/>
      </w:pPr>
    </w:p>
    <w:p w14:paraId="4CCD1989" w14:textId="736A3017" w:rsidR="00391298" w:rsidRPr="00FC72D2" w:rsidRDefault="008F4186" w:rsidP="00DD15E7">
      <w:pPr>
        <w:ind w:left="426"/>
        <w:jc w:val="both"/>
        <w:rPr>
          <w:i/>
          <w:iCs/>
          <w:szCs w:val="24"/>
        </w:rPr>
      </w:pPr>
      <w:r w:rsidRPr="00030E4F">
        <w:t>Consequently</w:t>
      </w:r>
      <w:r w:rsidR="00391298" w:rsidRPr="00030E4F">
        <w:t>,</w:t>
      </w:r>
      <w:r w:rsidRPr="00030E4F">
        <w:t xml:space="preserve"> the Local Government Pension Scheme Advisory Board for England and Wales (SAB) stated on 19 January </w:t>
      </w:r>
      <w:r w:rsidR="00EC6973" w:rsidRPr="00030E4F">
        <w:t xml:space="preserve">2024 that </w:t>
      </w:r>
      <w:r w:rsidR="00EC6973" w:rsidRPr="00030E4F">
        <w:rPr>
          <w:i/>
          <w:iCs/>
        </w:rPr>
        <w:t>“The S</w:t>
      </w:r>
      <w:r w:rsidR="009D302D" w:rsidRPr="00030E4F">
        <w:rPr>
          <w:i/>
          <w:iCs/>
        </w:rPr>
        <w:t>ecretariat</w:t>
      </w:r>
      <w:r w:rsidR="00364488" w:rsidRPr="00030E4F">
        <w:rPr>
          <w:i/>
          <w:iCs/>
        </w:rPr>
        <w:t xml:space="preserve"> is studying the Code closely to identify which parts of the Code </w:t>
      </w:r>
      <w:r w:rsidR="009D302D" w:rsidRPr="00030E4F">
        <w:rPr>
          <w:i/>
          <w:iCs/>
        </w:rPr>
        <w:t>specifically apply to the LGPS and what these mean for funds and how they should be applied in practice</w:t>
      </w:r>
      <w:r w:rsidR="00391298" w:rsidRPr="00030E4F">
        <w:rPr>
          <w:i/>
          <w:iCs/>
        </w:rPr>
        <w:t xml:space="preserve">. The SAB will support funds in understanding </w:t>
      </w:r>
      <w:r w:rsidR="00030E4F" w:rsidRPr="00030E4F">
        <w:rPr>
          <w:i/>
          <w:iCs/>
        </w:rPr>
        <w:t xml:space="preserve">any new requirements in the Code and where needed, will produce new or update </w:t>
      </w:r>
      <w:r w:rsidR="00030E4F" w:rsidRPr="00FC72D2">
        <w:rPr>
          <w:i/>
          <w:iCs/>
        </w:rPr>
        <w:t xml:space="preserve">existing guidance to assist funds with their responsibilities. </w:t>
      </w:r>
      <w:r w:rsidR="00391298" w:rsidRPr="00FC72D2">
        <w:rPr>
          <w:i/>
          <w:iCs/>
        </w:rPr>
        <w:t xml:space="preserve"> </w:t>
      </w:r>
    </w:p>
    <w:p w14:paraId="4B6030CF" w14:textId="77777777" w:rsidR="00D37DFE" w:rsidRPr="00FC72D2" w:rsidRDefault="00D37DFE" w:rsidP="00D37DFE">
      <w:pPr>
        <w:pStyle w:val="ListParagraph"/>
        <w:rPr>
          <w:i/>
          <w:iCs/>
          <w:szCs w:val="24"/>
        </w:rPr>
      </w:pPr>
    </w:p>
    <w:p w14:paraId="73597615" w14:textId="7FB1794A" w:rsidR="00391298" w:rsidRPr="00FC72D2" w:rsidRDefault="00D37DFE" w:rsidP="002D5597">
      <w:pPr>
        <w:numPr>
          <w:ilvl w:val="0"/>
          <w:numId w:val="18"/>
        </w:numPr>
        <w:ind w:left="426" w:hanging="426"/>
        <w:jc w:val="both"/>
        <w:rPr>
          <w:i/>
          <w:iCs/>
        </w:rPr>
      </w:pPr>
      <w:r w:rsidRPr="00FC72D2">
        <w:rPr>
          <w:szCs w:val="24"/>
        </w:rPr>
        <w:t>Although clarity is required on the exact applicability of the General Code to t</w:t>
      </w:r>
      <w:r w:rsidR="002825CA" w:rsidRPr="00FC72D2">
        <w:rPr>
          <w:szCs w:val="24"/>
        </w:rPr>
        <w:t>he LGPS</w:t>
      </w:r>
      <w:r w:rsidR="00406777" w:rsidRPr="00FC72D2">
        <w:rPr>
          <w:szCs w:val="24"/>
        </w:rPr>
        <w:t xml:space="preserve">. Those </w:t>
      </w:r>
      <w:r w:rsidR="001D42C0" w:rsidRPr="00FC72D2">
        <w:rPr>
          <w:szCs w:val="24"/>
        </w:rPr>
        <w:t xml:space="preserve">modules </w:t>
      </w:r>
      <w:r w:rsidR="00F051DF" w:rsidRPr="00FC72D2">
        <w:rPr>
          <w:szCs w:val="24"/>
        </w:rPr>
        <w:t>mentioned in para</w:t>
      </w:r>
      <w:r w:rsidR="00DD15E7" w:rsidRPr="00FC72D2">
        <w:rPr>
          <w:szCs w:val="24"/>
        </w:rPr>
        <w:t>s 6 to 11</w:t>
      </w:r>
      <w:r w:rsidR="00101772" w:rsidRPr="00FC72D2">
        <w:rPr>
          <w:szCs w:val="24"/>
        </w:rPr>
        <w:t xml:space="preserve"> </w:t>
      </w:r>
      <w:r w:rsidR="00F051DF" w:rsidRPr="00FC72D2">
        <w:rPr>
          <w:szCs w:val="24"/>
        </w:rPr>
        <w:t xml:space="preserve">above </w:t>
      </w:r>
      <w:r w:rsidR="001D42C0" w:rsidRPr="00FC72D2">
        <w:rPr>
          <w:szCs w:val="24"/>
        </w:rPr>
        <w:t xml:space="preserve">which subject matter are also covered </w:t>
      </w:r>
      <w:r w:rsidR="00185F77" w:rsidRPr="00FC72D2">
        <w:rPr>
          <w:szCs w:val="24"/>
        </w:rPr>
        <w:t>in the existing Code No 14</w:t>
      </w:r>
      <w:r w:rsidR="00147157" w:rsidRPr="00FC72D2">
        <w:rPr>
          <w:szCs w:val="24"/>
        </w:rPr>
        <w:t xml:space="preserve"> are those within the </w:t>
      </w:r>
      <w:r w:rsidR="00E959A6" w:rsidRPr="00FC72D2">
        <w:rPr>
          <w:szCs w:val="24"/>
        </w:rPr>
        <w:t xml:space="preserve">General </w:t>
      </w:r>
      <w:r w:rsidR="00147157" w:rsidRPr="00FC72D2">
        <w:rPr>
          <w:szCs w:val="24"/>
        </w:rPr>
        <w:t>Code</w:t>
      </w:r>
      <w:r w:rsidR="00E959A6" w:rsidRPr="00FC72D2">
        <w:rPr>
          <w:szCs w:val="24"/>
        </w:rPr>
        <w:t xml:space="preserve"> where </w:t>
      </w:r>
      <w:r w:rsidR="00F73137" w:rsidRPr="00FC72D2">
        <w:rPr>
          <w:szCs w:val="24"/>
        </w:rPr>
        <w:t>it is likely that significant requirements on the LGPS continues.</w:t>
      </w:r>
      <w:r w:rsidR="00F153E0" w:rsidRPr="00FC72D2">
        <w:rPr>
          <w:szCs w:val="24"/>
        </w:rPr>
        <w:t xml:space="preserve"> </w:t>
      </w:r>
    </w:p>
    <w:p w14:paraId="7A1AF432" w14:textId="77777777" w:rsidR="00391298" w:rsidRDefault="00391298" w:rsidP="00391298">
      <w:pPr>
        <w:jc w:val="both"/>
        <w:rPr>
          <w:highlight w:val="yellow"/>
        </w:rPr>
      </w:pPr>
    </w:p>
    <w:p w14:paraId="249724ED" w14:textId="4A13F140" w:rsidR="00914538" w:rsidRPr="008F4186" w:rsidRDefault="008F4186" w:rsidP="00391298">
      <w:pPr>
        <w:jc w:val="both"/>
        <w:rPr>
          <w:szCs w:val="24"/>
        </w:rPr>
      </w:pPr>
      <w:r w:rsidRPr="008F4186">
        <w:rPr>
          <w:highlight w:val="yellow"/>
        </w:rPr>
        <w:t xml:space="preserve"> </w:t>
      </w:r>
    </w:p>
    <w:p w14:paraId="0394EB32" w14:textId="77777777" w:rsidR="00C24A81" w:rsidRPr="004B1F65" w:rsidRDefault="00C24A81" w:rsidP="00C24A81">
      <w:pPr>
        <w:pStyle w:val="ListParagraph"/>
        <w:rPr>
          <w:szCs w:val="24"/>
        </w:rPr>
      </w:pPr>
    </w:p>
    <w:p w14:paraId="765EA055" w14:textId="2C3EB10D" w:rsidR="00C24A81" w:rsidRPr="004B1F65" w:rsidRDefault="00C24A81" w:rsidP="00C24A81">
      <w:pPr>
        <w:jc w:val="both"/>
        <w:rPr>
          <w:szCs w:val="24"/>
        </w:rPr>
      </w:pPr>
      <w:r w:rsidRPr="004B1F65">
        <w:rPr>
          <w:b/>
          <w:szCs w:val="24"/>
        </w:rPr>
        <w:t>D</w:t>
      </w:r>
      <w:r w:rsidR="00B902AE" w:rsidRPr="004B1F65">
        <w:rPr>
          <w:b/>
          <w:szCs w:val="24"/>
        </w:rPr>
        <w:t>.</w:t>
      </w:r>
      <w:r w:rsidRPr="004B1F65">
        <w:rPr>
          <w:b/>
          <w:szCs w:val="24"/>
        </w:rPr>
        <w:t xml:space="preserve"> </w:t>
      </w:r>
      <w:r w:rsidR="006D3833" w:rsidRPr="004B1F65">
        <w:rPr>
          <w:b/>
          <w:szCs w:val="24"/>
        </w:rPr>
        <w:t>Reporting to TPR</w:t>
      </w:r>
    </w:p>
    <w:p w14:paraId="50819078" w14:textId="77777777" w:rsidR="00C24A81" w:rsidRPr="004B1F65" w:rsidRDefault="00C24A81" w:rsidP="00C24A81">
      <w:pPr>
        <w:rPr>
          <w:szCs w:val="24"/>
        </w:rPr>
      </w:pPr>
    </w:p>
    <w:p w14:paraId="29C8663E" w14:textId="74D75318" w:rsidR="00B0421D" w:rsidRPr="004B1F65" w:rsidRDefault="006D3833" w:rsidP="00227E21">
      <w:pPr>
        <w:numPr>
          <w:ilvl w:val="0"/>
          <w:numId w:val="18"/>
        </w:numPr>
        <w:ind w:left="426" w:hanging="426"/>
        <w:jc w:val="both"/>
      </w:pPr>
      <w:r w:rsidRPr="004B1F65">
        <w:t xml:space="preserve">The LGPS </w:t>
      </w:r>
      <w:r w:rsidR="00521709" w:rsidRPr="004B1F65">
        <w:t xml:space="preserve">Scheme Advisory Board </w:t>
      </w:r>
      <w:r w:rsidR="005A511F" w:rsidRPr="004B1F65">
        <w:t>(SAB) in their statement</w:t>
      </w:r>
      <w:r w:rsidR="0052671C" w:rsidRPr="004B1F65">
        <w:t xml:space="preserve"> </w:t>
      </w:r>
      <w:r w:rsidR="005A511F" w:rsidRPr="004B1F65">
        <w:t xml:space="preserve">issued on </w:t>
      </w:r>
      <w:r w:rsidR="00977111">
        <w:t>19 January</w:t>
      </w:r>
      <w:r w:rsidR="00436F74">
        <w:t xml:space="preserve">, </w:t>
      </w:r>
      <w:r w:rsidR="0052671C" w:rsidRPr="004B1F65">
        <w:t xml:space="preserve">are studying </w:t>
      </w:r>
      <w:r w:rsidR="00474A6E" w:rsidRPr="004B1F65">
        <w:t>the Code to identify any new requirement for administering authorities and how the Code</w:t>
      </w:r>
      <w:r w:rsidR="00750FB2" w:rsidRPr="004B1F65">
        <w:t>’s requirements align with the items on the SAB workplan such as the SAB’s 2021 Good Governance recommendations.</w:t>
      </w:r>
      <w:r w:rsidR="00474A6E" w:rsidRPr="004B1F65">
        <w:t xml:space="preserve"> </w:t>
      </w:r>
    </w:p>
    <w:p w14:paraId="0B26285E" w14:textId="77777777" w:rsidR="00793E80" w:rsidRPr="004B1F65" w:rsidRDefault="00793E80" w:rsidP="00793E80">
      <w:pPr>
        <w:ind w:left="426"/>
        <w:jc w:val="both"/>
      </w:pPr>
    </w:p>
    <w:p w14:paraId="738DB9A9" w14:textId="0CAFCDD1" w:rsidR="00793E80" w:rsidRPr="009E2098" w:rsidRDefault="00D07A4A" w:rsidP="00227E21">
      <w:pPr>
        <w:numPr>
          <w:ilvl w:val="0"/>
          <w:numId w:val="18"/>
        </w:numPr>
        <w:ind w:left="426" w:hanging="426"/>
        <w:jc w:val="both"/>
      </w:pPr>
      <w:r w:rsidRPr="004B1F65">
        <w:t xml:space="preserve">The SAB statement </w:t>
      </w:r>
      <w:r w:rsidR="00993721" w:rsidRPr="004B1F65">
        <w:t>acknowledges TPR’s recognition of the fact that the LGPS already has high</w:t>
      </w:r>
      <w:r w:rsidR="005760B8" w:rsidRPr="004B1F65">
        <w:t xml:space="preserve"> </w:t>
      </w:r>
      <w:r w:rsidR="004B1F65" w:rsidRPr="004B1F65">
        <w:t>standards of governance in place.</w:t>
      </w:r>
      <w:r w:rsidR="00F94E97">
        <w:t xml:space="preserve"> The Code provides an opportunity for LGPS funds </w:t>
      </w:r>
      <w:r w:rsidR="00977C79">
        <w:t>to review current practices</w:t>
      </w:r>
      <w:r w:rsidR="00E10A7B">
        <w:t xml:space="preserve">, but also presents challenges during what is an already </w:t>
      </w:r>
      <w:r w:rsidR="00F8073E">
        <w:t xml:space="preserve">challenging time. </w:t>
      </w:r>
      <w:r w:rsidR="00C4628F">
        <w:t xml:space="preserve">The SAB will support funds in understanding </w:t>
      </w:r>
      <w:r w:rsidR="00F037F1">
        <w:t>any new requirements in the code</w:t>
      </w:r>
      <w:r w:rsidR="00F8073E">
        <w:t>,</w:t>
      </w:r>
      <w:r w:rsidR="00F037F1">
        <w:t xml:space="preserve"> where needed, will produce new or update existing guidance </w:t>
      </w:r>
      <w:r w:rsidR="00251169">
        <w:t xml:space="preserve">to assist funds with their </w:t>
      </w:r>
      <w:r w:rsidR="00251169" w:rsidRPr="009E2098">
        <w:t>responsibilities and practical application in practice</w:t>
      </w:r>
      <w:r w:rsidR="00977C79" w:rsidRPr="009E2098">
        <w:t>.</w:t>
      </w:r>
    </w:p>
    <w:p w14:paraId="4857F9AA" w14:textId="77777777" w:rsidR="00831166" w:rsidRPr="009E2098" w:rsidRDefault="00831166" w:rsidP="00831166">
      <w:pPr>
        <w:ind w:left="426"/>
        <w:jc w:val="both"/>
      </w:pPr>
    </w:p>
    <w:p w14:paraId="6B3378A6" w14:textId="33A76EE5" w:rsidR="00831166" w:rsidRDefault="00111109" w:rsidP="00227E21">
      <w:pPr>
        <w:numPr>
          <w:ilvl w:val="0"/>
          <w:numId w:val="18"/>
        </w:numPr>
        <w:ind w:left="426" w:hanging="426"/>
        <w:jc w:val="both"/>
      </w:pPr>
      <w:r w:rsidRPr="009E2098">
        <w:t>Although the Code is expected to take effect</w:t>
      </w:r>
      <w:r w:rsidR="00527665" w:rsidRPr="009E2098">
        <w:t xml:space="preserve"> </w:t>
      </w:r>
      <w:r w:rsidR="009E2098" w:rsidRPr="009E2098">
        <w:t xml:space="preserve">on </w:t>
      </w:r>
      <w:r w:rsidR="00527665" w:rsidRPr="009E2098">
        <w:t xml:space="preserve">27 </w:t>
      </w:r>
      <w:r w:rsidRPr="009E2098">
        <w:t>March, TPR has indicated that it does not expect schemes to be able to demonstrate full compliance with all the provisions of the Code from that date</w:t>
      </w:r>
      <w:r w:rsidR="00793E80" w:rsidRPr="009E2098">
        <w:t>.</w:t>
      </w:r>
      <w:r w:rsidR="004F4265">
        <w:t xml:space="preserve"> The expectation is that schemes will have an awareness of where there </w:t>
      </w:r>
      <w:r w:rsidR="00C75E2C">
        <w:t>are potential gaps in compliance and ideally, a plan setting out when these gaps will be filled.</w:t>
      </w:r>
      <w:r w:rsidR="004F4265">
        <w:t xml:space="preserve">  </w:t>
      </w:r>
    </w:p>
    <w:p w14:paraId="0218472D" w14:textId="77777777" w:rsidR="00A6644D" w:rsidRDefault="00A6644D" w:rsidP="00A6644D">
      <w:pPr>
        <w:pStyle w:val="ListParagraph"/>
      </w:pPr>
    </w:p>
    <w:p w14:paraId="262F5D3A" w14:textId="634950B8" w:rsidR="00A6644D" w:rsidRPr="009E2098" w:rsidRDefault="00A6644D" w:rsidP="00227E21">
      <w:pPr>
        <w:numPr>
          <w:ilvl w:val="0"/>
          <w:numId w:val="18"/>
        </w:numPr>
        <w:ind w:left="426" w:hanging="426"/>
        <w:jc w:val="both"/>
      </w:pPr>
      <w:r>
        <w:t>The Harrow Pensions Board received a report which set out The Pensions Regulator’s “Code of Practice no.14</w:t>
      </w:r>
      <w:r w:rsidR="00C6003C">
        <w:t>” entitled Governance and administration of public service pension schemes</w:t>
      </w:r>
      <w:r w:rsidR="00794F28">
        <w:t xml:space="preserve"> on 2 November 2016</w:t>
      </w:r>
      <w:r w:rsidR="00C6003C">
        <w:t>, which summarised the Fund’s compliance</w:t>
      </w:r>
      <w:r w:rsidR="00606E4E">
        <w:t xml:space="preserve"> to Code of Practice no.14</w:t>
      </w:r>
      <w:r w:rsidR="003D3DA8">
        <w:t xml:space="preserve">. </w:t>
      </w:r>
      <w:r w:rsidR="00415EA1">
        <w:t>A</w:t>
      </w:r>
      <w:r w:rsidR="003D3DA8">
        <w:t xml:space="preserve"> similar but more detailed </w:t>
      </w:r>
      <w:r w:rsidR="00415EA1">
        <w:t xml:space="preserve">compliance </w:t>
      </w:r>
      <w:r w:rsidR="003D3DA8">
        <w:t>report</w:t>
      </w:r>
      <w:r w:rsidR="00415EA1">
        <w:t xml:space="preserve"> and next steps </w:t>
      </w:r>
      <w:r w:rsidR="0013652A">
        <w:t>is intended.</w:t>
      </w:r>
      <w:r w:rsidR="00C6003C">
        <w:t xml:space="preserve"> </w:t>
      </w:r>
    </w:p>
    <w:p w14:paraId="6B02E669" w14:textId="77777777" w:rsidR="008D2194" w:rsidRPr="008C6054" w:rsidRDefault="008D2194" w:rsidP="008D2194">
      <w:pPr>
        <w:pStyle w:val="ListParagraph"/>
        <w:rPr>
          <w:highlight w:val="yellow"/>
        </w:rPr>
      </w:pPr>
    </w:p>
    <w:p w14:paraId="76F72EEB" w14:textId="77777777" w:rsidR="00345D9F" w:rsidRPr="001C2CBC" w:rsidRDefault="00345D9F" w:rsidP="00E54E13">
      <w:pPr>
        <w:jc w:val="both"/>
        <w:rPr>
          <w:b/>
          <w:bCs/>
        </w:rPr>
      </w:pPr>
    </w:p>
    <w:p w14:paraId="42E0BBD0" w14:textId="11ABF9D0" w:rsidR="00E54E13" w:rsidRPr="001C2CBC" w:rsidRDefault="00E54E13" w:rsidP="00E54E13">
      <w:pPr>
        <w:jc w:val="both"/>
      </w:pPr>
      <w:r w:rsidRPr="001C2CBC">
        <w:rPr>
          <w:b/>
        </w:rPr>
        <w:t>E</w:t>
      </w:r>
      <w:r w:rsidR="00B902AE" w:rsidRPr="001C2CBC">
        <w:rPr>
          <w:b/>
        </w:rPr>
        <w:t>.</w:t>
      </w:r>
      <w:r w:rsidRPr="001C2CBC">
        <w:rPr>
          <w:b/>
        </w:rPr>
        <w:t xml:space="preserve">   </w:t>
      </w:r>
      <w:r w:rsidR="00C75E2C" w:rsidRPr="001C2CBC">
        <w:rPr>
          <w:b/>
        </w:rPr>
        <w:t>Next Steps</w:t>
      </w:r>
      <w:r w:rsidRPr="001C2CBC">
        <w:rPr>
          <w:b/>
        </w:rPr>
        <w:t xml:space="preserve"> </w:t>
      </w:r>
    </w:p>
    <w:p w14:paraId="4F9945A7" w14:textId="77777777" w:rsidR="00E54E13" w:rsidRPr="001C2CBC" w:rsidRDefault="00E54E13" w:rsidP="00E54E13"/>
    <w:p w14:paraId="111305B6" w14:textId="0CB8F2E1" w:rsidR="0079608D" w:rsidRPr="00AE1441" w:rsidRDefault="00E54E13" w:rsidP="007F0A0A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C2CBC">
        <w:t xml:space="preserve"> </w:t>
      </w:r>
      <w:r w:rsidR="00484E6A" w:rsidRPr="001C2CBC">
        <w:t xml:space="preserve">While it may not be </w:t>
      </w:r>
      <w:proofErr w:type="gramStart"/>
      <w:r w:rsidR="00531599" w:rsidRPr="001C2CBC">
        <w:t>absolutely clear</w:t>
      </w:r>
      <w:proofErr w:type="gramEnd"/>
      <w:r w:rsidR="00531599" w:rsidRPr="001C2CBC">
        <w:t xml:space="preserve"> on the exact applicability of the TPR General Code to the LGPS</w:t>
      </w:r>
      <w:r w:rsidR="007F0A0A" w:rsidRPr="001C2CBC">
        <w:t>, and while further clarity and guidance is expected from the SAB</w:t>
      </w:r>
      <w:r w:rsidR="0079608D" w:rsidRPr="001C2CBC">
        <w:t xml:space="preserve">, the following actions </w:t>
      </w:r>
      <w:r w:rsidR="00493EF3">
        <w:t>are</w:t>
      </w:r>
      <w:r w:rsidR="0079608D" w:rsidRPr="001C2CBC">
        <w:t xml:space="preserve"> put forward </w:t>
      </w:r>
      <w:r w:rsidR="0079608D" w:rsidRPr="00AE1441">
        <w:rPr>
          <w:szCs w:val="24"/>
        </w:rPr>
        <w:t>to the Committee:</w:t>
      </w:r>
    </w:p>
    <w:p w14:paraId="7A581665" w14:textId="4195BD4E" w:rsidR="00B5183E" w:rsidRPr="00AE1441" w:rsidRDefault="00B5183E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Take</w:t>
      </w:r>
      <w:r w:rsidR="00522E44" w:rsidRPr="00AE1441">
        <w:rPr>
          <w:sz w:val="24"/>
          <w:szCs w:val="24"/>
        </w:rPr>
        <w:t xml:space="preserve"> cognisance </w:t>
      </w:r>
      <w:r w:rsidR="00F04C5E" w:rsidRPr="00AE1441">
        <w:rPr>
          <w:sz w:val="24"/>
          <w:szCs w:val="24"/>
        </w:rPr>
        <w:t>of any rel</w:t>
      </w:r>
      <w:r w:rsidR="001771A3" w:rsidRPr="00AE1441">
        <w:rPr>
          <w:sz w:val="24"/>
          <w:szCs w:val="24"/>
        </w:rPr>
        <w:t>evant guidance issued by the SAB</w:t>
      </w:r>
      <w:r w:rsidR="00837CDF">
        <w:rPr>
          <w:sz w:val="24"/>
          <w:szCs w:val="24"/>
        </w:rPr>
        <w:t>.</w:t>
      </w:r>
    </w:p>
    <w:p w14:paraId="64F13634" w14:textId="288C3AAB" w:rsidR="007468FC" w:rsidRPr="00AE1441" w:rsidRDefault="007468FC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 xml:space="preserve">Take cognisance of existing practices withing the council as administering authority for example </w:t>
      </w:r>
      <w:r w:rsidR="00430DFF" w:rsidRPr="00AE1441">
        <w:rPr>
          <w:sz w:val="24"/>
          <w:szCs w:val="24"/>
        </w:rPr>
        <w:t>cyber security and business continuity</w:t>
      </w:r>
      <w:r w:rsidRPr="00AE1441">
        <w:rPr>
          <w:sz w:val="24"/>
          <w:szCs w:val="24"/>
        </w:rPr>
        <w:t xml:space="preserve"> </w:t>
      </w:r>
      <w:r w:rsidR="001C2CBC" w:rsidRPr="00AE1441">
        <w:rPr>
          <w:sz w:val="24"/>
          <w:szCs w:val="24"/>
        </w:rPr>
        <w:t xml:space="preserve">as they relate to the </w:t>
      </w:r>
      <w:r w:rsidR="00FC290C" w:rsidRPr="00AE1441">
        <w:rPr>
          <w:sz w:val="24"/>
          <w:szCs w:val="24"/>
        </w:rPr>
        <w:t>Code of Practice</w:t>
      </w:r>
      <w:r w:rsidR="00837CDF">
        <w:rPr>
          <w:sz w:val="24"/>
          <w:szCs w:val="24"/>
        </w:rPr>
        <w:t>.</w:t>
      </w:r>
      <w:r w:rsidRPr="00AE1441">
        <w:rPr>
          <w:sz w:val="24"/>
          <w:szCs w:val="24"/>
        </w:rPr>
        <w:t xml:space="preserve"> </w:t>
      </w:r>
    </w:p>
    <w:p w14:paraId="26A22824" w14:textId="26B38A17" w:rsidR="0016649B" w:rsidRPr="00AE1441" w:rsidRDefault="00B5504D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 xml:space="preserve">Assess to what extent the TPR </w:t>
      </w:r>
      <w:r w:rsidR="00EF1AE0" w:rsidRPr="00AE1441">
        <w:rPr>
          <w:sz w:val="24"/>
          <w:szCs w:val="24"/>
        </w:rPr>
        <w:t xml:space="preserve">General </w:t>
      </w:r>
      <w:r w:rsidRPr="00AE1441">
        <w:rPr>
          <w:sz w:val="24"/>
          <w:szCs w:val="24"/>
        </w:rPr>
        <w:t>Code</w:t>
      </w:r>
      <w:r w:rsidR="00EF1AE0" w:rsidRPr="00AE1441">
        <w:rPr>
          <w:sz w:val="24"/>
          <w:szCs w:val="24"/>
        </w:rPr>
        <w:t xml:space="preserve"> is more applicable to the Pensions Committee and Pensions Board</w:t>
      </w:r>
      <w:r w:rsidR="00837CDF">
        <w:rPr>
          <w:sz w:val="24"/>
          <w:szCs w:val="24"/>
        </w:rPr>
        <w:t>.</w:t>
      </w:r>
    </w:p>
    <w:p w14:paraId="18EE75D2" w14:textId="50C55145" w:rsidR="0016649B" w:rsidRPr="00AE1441" w:rsidRDefault="0016649B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Review the Fund’s current governance compliance/arrangements against the new General Code</w:t>
      </w:r>
      <w:r w:rsidR="00837CDF">
        <w:rPr>
          <w:sz w:val="24"/>
          <w:szCs w:val="24"/>
        </w:rPr>
        <w:t>.</w:t>
      </w:r>
    </w:p>
    <w:p w14:paraId="421D6C8F" w14:textId="6F5B0ACC" w:rsidR="001C1888" w:rsidRPr="00AE1441" w:rsidRDefault="001C1888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 xml:space="preserve">Review the General Code against the </w:t>
      </w:r>
      <w:r w:rsidR="008E7824" w:rsidRPr="00AE1441">
        <w:rPr>
          <w:sz w:val="24"/>
          <w:szCs w:val="24"/>
        </w:rPr>
        <w:t xml:space="preserve">SAB Good Governance </w:t>
      </w:r>
    </w:p>
    <w:p w14:paraId="7049D6DA" w14:textId="3CCBB7C2" w:rsidR="0086339F" w:rsidRPr="00AE1441" w:rsidRDefault="0016649B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 xml:space="preserve">Sign up to </w:t>
      </w:r>
      <w:r w:rsidR="0086339F" w:rsidRPr="00AE1441">
        <w:rPr>
          <w:sz w:val="24"/>
          <w:szCs w:val="24"/>
        </w:rPr>
        <w:t>available LGPS TPR Code compliance tool</w:t>
      </w:r>
      <w:r w:rsidR="00837CDF">
        <w:rPr>
          <w:sz w:val="24"/>
          <w:szCs w:val="24"/>
        </w:rPr>
        <w:t>.</w:t>
      </w:r>
      <w:r w:rsidR="0086339F" w:rsidRPr="00AE1441">
        <w:rPr>
          <w:sz w:val="24"/>
          <w:szCs w:val="24"/>
        </w:rPr>
        <w:t xml:space="preserve"> </w:t>
      </w:r>
    </w:p>
    <w:p w14:paraId="46EDC1EF" w14:textId="6E555255" w:rsidR="001771A3" w:rsidRPr="00AE1441" w:rsidRDefault="0086339F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Iden</w:t>
      </w:r>
      <w:r w:rsidR="00CA0140" w:rsidRPr="00AE1441">
        <w:rPr>
          <w:sz w:val="24"/>
          <w:szCs w:val="24"/>
        </w:rPr>
        <w:t xml:space="preserve">tify elements of General Code although not applicable to the LGPS but </w:t>
      </w:r>
      <w:r w:rsidR="008B5B24" w:rsidRPr="00AE1441">
        <w:rPr>
          <w:sz w:val="24"/>
          <w:szCs w:val="24"/>
        </w:rPr>
        <w:t>represent good practice for the Fund and plan to make changes or enhancements</w:t>
      </w:r>
      <w:r w:rsidR="00837CDF">
        <w:rPr>
          <w:sz w:val="24"/>
          <w:szCs w:val="24"/>
        </w:rPr>
        <w:t>.</w:t>
      </w:r>
    </w:p>
    <w:p w14:paraId="6E3311CC" w14:textId="5A44844F" w:rsidR="00EA25CC" w:rsidRPr="00AE1441" w:rsidRDefault="00EA25CC" w:rsidP="00E013A7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Train</w:t>
      </w:r>
      <w:r w:rsidR="008F3496" w:rsidRPr="00AE1441">
        <w:rPr>
          <w:sz w:val="24"/>
          <w:szCs w:val="24"/>
        </w:rPr>
        <w:t xml:space="preserve">ing provided to </w:t>
      </w:r>
      <w:r w:rsidR="00410103" w:rsidRPr="00AE1441">
        <w:rPr>
          <w:sz w:val="24"/>
          <w:szCs w:val="24"/>
        </w:rPr>
        <w:t>Committee and Board on expectations set out by TPR within the General Code</w:t>
      </w:r>
      <w:r w:rsidR="00837CDF">
        <w:rPr>
          <w:sz w:val="24"/>
          <w:szCs w:val="24"/>
        </w:rPr>
        <w:t>.</w:t>
      </w:r>
    </w:p>
    <w:p w14:paraId="4A1DF0AE" w14:textId="1194A73D" w:rsidR="00FC290C" w:rsidRPr="00AE1441" w:rsidRDefault="00FC290C" w:rsidP="00E013A7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Produce a plan to make changes or enhancements to ensure necessary compliance</w:t>
      </w:r>
      <w:r w:rsidR="00837CDF">
        <w:rPr>
          <w:sz w:val="24"/>
          <w:szCs w:val="24"/>
        </w:rPr>
        <w:t>.</w:t>
      </w:r>
    </w:p>
    <w:p w14:paraId="482C3C83" w14:textId="73DD79D5" w:rsidR="007F0A0A" w:rsidRPr="00AE1441" w:rsidRDefault="008E3430" w:rsidP="0079608D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AE1441">
        <w:rPr>
          <w:sz w:val="24"/>
          <w:szCs w:val="24"/>
        </w:rPr>
        <w:t>Report progress to the Committee and Board periodically of any progress t</w:t>
      </w:r>
      <w:r w:rsidR="00B56703" w:rsidRPr="00AE1441">
        <w:rPr>
          <w:sz w:val="24"/>
          <w:szCs w:val="24"/>
        </w:rPr>
        <w:t>o</w:t>
      </w:r>
      <w:r w:rsidRPr="00AE1441">
        <w:rPr>
          <w:sz w:val="24"/>
          <w:szCs w:val="24"/>
        </w:rPr>
        <w:t xml:space="preserve">ward compliance to those parts of the Code that </w:t>
      </w:r>
      <w:r w:rsidR="00B56703" w:rsidRPr="00AE1441">
        <w:rPr>
          <w:sz w:val="24"/>
          <w:szCs w:val="24"/>
        </w:rPr>
        <w:t>are applicable to the Fund and those considered to be good practice.</w:t>
      </w:r>
      <w:r w:rsidR="0086339F" w:rsidRPr="00AE1441">
        <w:rPr>
          <w:sz w:val="24"/>
          <w:szCs w:val="24"/>
        </w:rPr>
        <w:t xml:space="preserve"> </w:t>
      </w:r>
      <w:r w:rsidR="0016649B" w:rsidRPr="00AE1441">
        <w:rPr>
          <w:sz w:val="24"/>
          <w:szCs w:val="24"/>
        </w:rPr>
        <w:t xml:space="preserve">    </w:t>
      </w:r>
      <w:r w:rsidR="002921BD" w:rsidRPr="00AE1441">
        <w:rPr>
          <w:sz w:val="24"/>
          <w:szCs w:val="24"/>
        </w:rPr>
        <w:t xml:space="preserve"> </w:t>
      </w:r>
      <w:r w:rsidR="00CF4A33" w:rsidRPr="00AE1441">
        <w:rPr>
          <w:sz w:val="24"/>
          <w:szCs w:val="24"/>
        </w:rPr>
        <w:t xml:space="preserve">  </w:t>
      </w:r>
    </w:p>
    <w:p w14:paraId="5B7CD9A3" w14:textId="77777777" w:rsidR="007F0A0A" w:rsidRDefault="007F0A0A" w:rsidP="007F0A0A">
      <w:pPr>
        <w:jc w:val="both"/>
      </w:pPr>
    </w:p>
    <w:p w14:paraId="0A60CA5B" w14:textId="1E0914DC" w:rsidR="00E54E13" w:rsidRPr="00295B9E" w:rsidRDefault="00A77232" w:rsidP="00E54E13">
      <w:pPr>
        <w:pStyle w:val="Heading2"/>
      </w:pPr>
      <w:r w:rsidRPr="00295B9E">
        <w:t>L</w:t>
      </w:r>
      <w:r w:rsidR="00E54E13" w:rsidRPr="00295B9E">
        <w:t>egal Implications</w:t>
      </w:r>
    </w:p>
    <w:p w14:paraId="5F8B9F07" w14:textId="77777777" w:rsidR="00E54E13" w:rsidRPr="00295B9E" w:rsidRDefault="00E54E13" w:rsidP="00E54E13">
      <w:pPr>
        <w:jc w:val="both"/>
      </w:pPr>
    </w:p>
    <w:p w14:paraId="6A068D4A" w14:textId="7F27AE16" w:rsidR="007B6C97" w:rsidRPr="004D0EFF" w:rsidRDefault="007B6C97" w:rsidP="00B902AE">
      <w:pPr>
        <w:numPr>
          <w:ilvl w:val="0"/>
          <w:numId w:val="18"/>
        </w:numPr>
        <w:ind w:left="426" w:hanging="426"/>
        <w:jc w:val="both"/>
      </w:pPr>
      <w:r w:rsidRPr="004D0EFF">
        <w:rPr>
          <w:szCs w:val="24"/>
        </w:rPr>
        <w:t>The</w:t>
      </w:r>
      <w:r w:rsidR="008B7F89" w:rsidRPr="004D0EFF">
        <w:rPr>
          <w:szCs w:val="24"/>
        </w:rPr>
        <w:t xml:space="preserve"> Pensions Regulator (Regulator) was established under the Pensions Act 2004 to regulate work-based pensions. The Public Service Pensions Act 2013 introduced an expanded role for the Regulator in overseeing the major work-based pension schemes for those working in the public servi</w:t>
      </w:r>
      <w:r w:rsidR="00295B9E" w:rsidRPr="004D0EFF">
        <w:rPr>
          <w:szCs w:val="24"/>
        </w:rPr>
        <w:t>ces.</w:t>
      </w:r>
    </w:p>
    <w:p w14:paraId="674BF821" w14:textId="77777777" w:rsidR="007E7AA4" w:rsidRPr="004D0EFF" w:rsidRDefault="007E7AA4" w:rsidP="00B902AE">
      <w:pPr>
        <w:ind w:left="426"/>
        <w:jc w:val="both"/>
      </w:pPr>
    </w:p>
    <w:p w14:paraId="53004637" w14:textId="10695C06" w:rsidR="007E7AA4" w:rsidRPr="004D0EFF" w:rsidRDefault="00295B9E" w:rsidP="00B902AE">
      <w:pPr>
        <w:numPr>
          <w:ilvl w:val="0"/>
          <w:numId w:val="18"/>
        </w:numPr>
        <w:ind w:left="426" w:hanging="426"/>
        <w:jc w:val="both"/>
        <w:rPr>
          <w:szCs w:val="24"/>
        </w:rPr>
      </w:pPr>
      <w:r w:rsidRPr="004D0EFF">
        <w:rPr>
          <w:color w:val="262626"/>
          <w:szCs w:val="24"/>
          <w:lang w:val="en-US"/>
        </w:rPr>
        <w:t xml:space="preserve">Under the 2013 Act, the Regulator is required to issue one or more codes of practice covering specific matters relating to </w:t>
      </w:r>
      <w:r w:rsidR="005E205E" w:rsidRPr="004D0EFF">
        <w:rPr>
          <w:color w:val="262626"/>
          <w:szCs w:val="24"/>
          <w:lang w:val="en-US"/>
        </w:rPr>
        <w:t>public service pension schemes.</w:t>
      </w:r>
    </w:p>
    <w:p w14:paraId="063C12AD" w14:textId="41FB6A12" w:rsidR="00001D28" w:rsidRPr="004D0EFF" w:rsidRDefault="007E7AA4" w:rsidP="004D0EFF">
      <w:pPr>
        <w:shd w:val="clear" w:color="auto" w:fill="FFFFFF"/>
        <w:jc w:val="both"/>
        <w:rPr>
          <w:color w:val="262626"/>
          <w:szCs w:val="24"/>
        </w:rPr>
      </w:pPr>
      <w:r w:rsidRPr="004D0EFF">
        <w:rPr>
          <w:rFonts w:cs="Arial"/>
          <w:color w:val="262626"/>
          <w:szCs w:val="24"/>
          <w:lang w:val="en-US" w:eastAsia="en-GB"/>
        </w:rPr>
        <w:t> </w:t>
      </w:r>
    </w:p>
    <w:p w14:paraId="40A4BAC0" w14:textId="77777777" w:rsidR="007B6C97" w:rsidRPr="00631D37" w:rsidRDefault="007B6C97" w:rsidP="007B6C97">
      <w:pPr>
        <w:pStyle w:val="Heading2"/>
        <w:spacing w:after="240"/>
      </w:pPr>
      <w:r w:rsidRPr="004D0EFF">
        <w:t>Financial</w:t>
      </w:r>
      <w:r w:rsidRPr="00631D37">
        <w:t xml:space="preserve"> Implications</w:t>
      </w:r>
    </w:p>
    <w:p w14:paraId="6EC4F8A2" w14:textId="014444D5" w:rsidR="00077648" w:rsidRPr="00631D37" w:rsidRDefault="007B6C97" w:rsidP="00476639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szCs w:val="24"/>
          <w:lang w:val="en-US"/>
        </w:rPr>
      </w:pPr>
      <w:r w:rsidRPr="00631D37">
        <w:rPr>
          <w:szCs w:val="24"/>
          <w:lang w:val="en-US"/>
        </w:rPr>
        <w:t xml:space="preserve">Whilst </w:t>
      </w:r>
      <w:r w:rsidR="00077648" w:rsidRPr="00631D37">
        <w:rPr>
          <w:szCs w:val="24"/>
          <w:lang w:val="en-US"/>
        </w:rPr>
        <w:t xml:space="preserve">matters discussed in this report have very significant </w:t>
      </w:r>
      <w:r w:rsidR="00631D37" w:rsidRPr="00631D37">
        <w:rPr>
          <w:szCs w:val="24"/>
          <w:lang w:val="en-US"/>
        </w:rPr>
        <w:t>financial implications there are none directly arising directly from it.</w:t>
      </w:r>
    </w:p>
    <w:p w14:paraId="2B1DEF02" w14:textId="77777777" w:rsidR="00690F76" w:rsidRPr="00D85523" w:rsidRDefault="00690F76" w:rsidP="00B902AE">
      <w:pPr>
        <w:pStyle w:val="Heading2"/>
        <w:spacing w:after="240"/>
        <w:jc w:val="both"/>
      </w:pPr>
      <w:r w:rsidRPr="00D85523">
        <w:t>Risk Management Implications</w:t>
      </w:r>
    </w:p>
    <w:p w14:paraId="2B078D5F" w14:textId="1C5516EB" w:rsidR="003F5AF9" w:rsidRPr="00D85523" w:rsidRDefault="003F5AF9" w:rsidP="00B902AE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24"/>
          <w:lang w:eastAsia="en-GB"/>
        </w:rPr>
      </w:pPr>
      <w:r w:rsidRPr="00D85523">
        <w:t xml:space="preserve">There are no specific risk management implications arising from this report. </w:t>
      </w:r>
      <w:r w:rsidR="00234155">
        <w:t>The management of risks is a key part of this report.</w:t>
      </w:r>
    </w:p>
    <w:p w14:paraId="44D33D1F" w14:textId="7BC941B4" w:rsidR="00FD31A0" w:rsidRPr="00412242" w:rsidRDefault="00FD31A0" w:rsidP="00B902AE">
      <w:pPr>
        <w:pStyle w:val="Heading2"/>
        <w:keepNext/>
        <w:spacing w:after="240"/>
        <w:jc w:val="both"/>
      </w:pPr>
      <w:r w:rsidRPr="00412242">
        <w:t>Equalities implications</w:t>
      </w:r>
      <w:r w:rsidR="00213BE7" w:rsidRPr="00412242">
        <w:t xml:space="preserve"> / Public Sector Equality Duty </w:t>
      </w:r>
    </w:p>
    <w:p w14:paraId="45958F5A" w14:textId="77777777" w:rsidR="003F5AF9" w:rsidRPr="00412242" w:rsidRDefault="003F5AF9" w:rsidP="00B902AE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24"/>
          <w:lang w:eastAsia="en-GB"/>
        </w:rPr>
      </w:pPr>
      <w:r w:rsidRPr="00412242">
        <w:rPr>
          <w:szCs w:val="24"/>
        </w:rPr>
        <w:t xml:space="preserve">Was an Equality Impact Assessment carried out?  No </w:t>
      </w:r>
    </w:p>
    <w:p w14:paraId="0C2F27D8" w14:textId="7E82F630" w:rsidR="00FD31A0" w:rsidRPr="00412242" w:rsidRDefault="003F5AF9" w:rsidP="00B902AE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412242">
        <w:rPr>
          <w:szCs w:val="24"/>
        </w:rPr>
        <w:t>There are no direct equalities implications arising from this report.</w:t>
      </w:r>
    </w:p>
    <w:p w14:paraId="012B7917" w14:textId="7BD11F53" w:rsidR="001E66A8" w:rsidRPr="00412242" w:rsidRDefault="001E66A8" w:rsidP="00B902AE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0ABA74B" w14:textId="743DBC17" w:rsidR="001E66A8" w:rsidRPr="008C6054" w:rsidRDefault="001E66A8" w:rsidP="00B902AE">
      <w:pPr>
        <w:autoSpaceDE w:val="0"/>
        <w:autoSpaceDN w:val="0"/>
        <w:adjustRightInd w:val="0"/>
        <w:ind w:left="426"/>
        <w:jc w:val="both"/>
        <w:rPr>
          <w:szCs w:val="24"/>
          <w:highlight w:val="yellow"/>
        </w:rPr>
      </w:pPr>
    </w:p>
    <w:p w14:paraId="7F65A202" w14:textId="7905170A" w:rsidR="001E66A8" w:rsidRPr="008C6054" w:rsidRDefault="001E66A8" w:rsidP="00B902AE">
      <w:pPr>
        <w:autoSpaceDE w:val="0"/>
        <w:autoSpaceDN w:val="0"/>
        <w:adjustRightInd w:val="0"/>
        <w:ind w:left="426"/>
        <w:jc w:val="both"/>
        <w:rPr>
          <w:szCs w:val="24"/>
          <w:highlight w:val="yellow"/>
        </w:rPr>
      </w:pPr>
    </w:p>
    <w:p w14:paraId="5351E5A0" w14:textId="77777777" w:rsidR="001E66A8" w:rsidRPr="008C6054" w:rsidRDefault="001E66A8" w:rsidP="00B902AE">
      <w:pPr>
        <w:autoSpaceDE w:val="0"/>
        <w:autoSpaceDN w:val="0"/>
        <w:adjustRightInd w:val="0"/>
        <w:ind w:left="426"/>
        <w:jc w:val="both"/>
        <w:rPr>
          <w:highlight w:val="yellow"/>
        </w:rPr>
      </w:pPr>
    </w:p>
    <w:p w14:paraId="1EF4F8CB" w14:textId="77777777" w:rsidR="004B4A47" w:rsidRPr="00612805" w:rsidRDefault="00AC0AAB" w:rsidP="00B902AE">
      <w:pPr>
        <w:pStyle w:val="Heading2"/>
        <w:spacing w:after="240"/>
        <w:jc w:val="both"/>
      </w:pPr>
      <w:r w:rsidRPr="00612805">
        <w:t xml:space="preserve">Council </w:t>
      </w:r>
      <w:r w:rsidR="004B4A47" w:rsidRPr="00612805">
        <w:t>Priorities</w:t>
      </w:r>
    </w:p>
    <w:p w14:paraId="13CD0946" w14:textId="0F3373CC" w:rsidR="003F5AF9" w:rsidRPr="00612805" w:rsidRDefault="003F5AF9" w:rsidP="00B902AE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24"/>
          <w:lang w:eastAsia="en-GB"/>
        </w:rPr>
      </w:pPr>
      <w:r w:rsidRPr="00612805">
        <w:rPr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  <w:r w:rsidR="008A1180" w:rsidRPr="00612805">
        <w:rPr>
          <w:szCs w:val="24"/>
          <w:lang w:val="en-US"/>
        </w:rPr>
        <w:t xml:space="preserve">The </w:t>
      </w:r>
      <w:r w:rsidR="00606227" w:rsidRPr="00612805">
        <w:rPr>
          <w:szCs w:val="24"/>
          <w:lang w:val="en-US"/>
        </w:rPr>
        <w:t xml:space="preserve">Council has </w:t>
      </w:r>
      <w:r w:rsidR="004364E7" w:rsidRPr="00612805">
        <w:rPr>
          <w:szCs w:val="24"/>
          <w:lang w:val="en-US"/>
        </w:rPr>
        <w:t>a legal responsibility to maintain and manage th</w:t>
      </w:r>
      <w:r w:rsidR="00187B8C" w:rsidRPr="00612805">
        <w:rPr>
          <w:szCs w:val="24"/>
          <w:lang w:val="en-US"/>
        </w:rPr>
        <w:t xml:space="preserve">eir LGPS fund. This role is referred to as </w:t>
      </w:r>
      <w:r w:rsidR="00374C7C" w:rsidRPr="00612805">
        <w:rPr>
          <w:szCs w:val="24"/>
          <w:lang w:val="en-US"/>
        </w:rPr>
        <w:t>the</w:t>
      </w:r>
      <w:r w:rsidR="00454B0A" w:rsidRPr="00612805">
        <w:rPr>
          <w:szCs w:val="24"/>
          <w:lang w:val="en-US"/>
        </w:rPr>
        <w:t xml:space="preserve"> scheme manager in the Public Service Pensions Act </w:t>
      </w:r>
      <w:r w:rsidR="00BD00DC" w:rsidRPr="00612805">
        <w:rPr>
          <w:szCs w:val="24"/>
          <w:lang w:val="en-US"/>
        </w:rPr>
        <w:t>2013.</w:t>
      </w:r>
      <w:r w:rsidR="00C77B1A" w:rsidRPr="00612805">
        <w:rPr>
          <w:szCs w:val="24"/>
          <w:lang w:val="en-US"/>
        </w:rPr>
        <w:t xml:space="preserve"> </w:t>
      </w:r>
    </w:p>
    <w:p w14:paraId="11BF41CC" w14:textId="4C94422D" w:rsidR="002A2389" w:rsidRPr="000D4F48" w:rsidRDefault="00183CB6" w:rsidP="00912904">
      <w:pPr>
        <w:pStyle w:val="Heading2"/>
      </w:pPr>
      <w:r w:rsidRPr="000D4F48">
        <w:t>S</w:t>
      </w:r>
      <w:r w:rsidR="002A2389" w:rsidRPr="000D4F48">
        <w:t>ection 3 - Statutory Officer Clearance</w:t>
      </w:r>
    </w:p>
    <w:p w14:paraId="714BE3DB" w14:textId="742B500E" w:rsidR="000A58A1" w:rsidRPr="008C6054" w:rsidRDefault="000A58A1" w:rsidP="000A58A1">
      <w:pPr>
        <w:keepNext/>
        <w:rPr>
          <w:rFonts w:ascii="Arial Black" w:hAnsi="Arial Black" w:cs="Arial"/>
          <w:color w:val="0000FF"/>
          <w:szCs w:val="24"/>
          <w:highlight w:val="yellow"/>
        </w:rPr>
      </w:pPr>
    </w:p>
    <w:p w14:paraId="1F493ADE" w14:textId="6B72C52E" w:rsidR="00912904" w:rsidRPr="00E44228" w:rsidRDefault="00912904" w:rsidP="00912904">
      <w:pPr>
        <w:rPr>
          <w:sz w:val="28"/>
        </w:rPr>
      </w:pPr>
      <w:r w:rsidRPr="00E44228">
        <w:rPr>
          <w:b/>
          <w:sz w:val="28"/>
        </w:rPr>
        <w:t xml:space="preserve">Statutory Officer:  </w:t>
      </w:r>
      <w:r w:rsidR="001E66A8" w:rsidRPr="00E44228">
        <w:rPr>
          <w:b/>
          <w:sz w:val="28"/>
        </w:rPr>
        <w:t>Sharon Daniels</w:t>
      </w:r>
    </w:p>
    <w:p w14:paraId="57640BD9" w14:textId="3A3DF721" w:rsidR="00912904" w:rsidRPr="00E44228" w:rsidRDefault="00912904" w:rsidP="00912904">
      <w:r w:rsidRPr="00E44228">
        <w:t>Signed by the Chief Financial Officer</w:t>
      </w:r>
    </w:p>
    <w:p w14:paraId="7DF3B061" w14:textId="048F7AFD" w:rsidR="009303ED" w:rsidRPr="0006442F" w:rsidRDefault="00912904" w:rsidP="009303ED">
      <w:pPr>
        <w:spacing w:after="480"/>
        <w:rPr>
          <w:sz w:val="28"/>
        </w:rPr>
      </w:pPr>
      <w:r w:rsidRPr="0006442F">
        <w:rPr>
          <w:b/>
          <w:sz w:val="28"/>
        </w:rPr>
        <w:t xml:space="preserve">Date: </w:t>
      </w:r>
      <w:r w:rsidR="0006442F" w:rsidRPr="0006442F">
        <w:rPr>
          <w:b/>
          <w:sz w:val="28"/>
        </w:rPr>
        <w:t>22</w:t>
      </w:r>
      <w:r w:rsidR="000D4F48" w:rsidRPr="0006442F">
        <w:rPr>
          <w:b/>
          <w:sz w:val="28"/>
        </w:rPr>
        <w:t xml:space="preserve"> March 2024</w:t>
      </w:r>
    </w:p>
    <w:p w14:paraId="2586CC50" w14:textId="262C5C90" w:rsidR="00912904" w:rsidRPr="0006442F" w:rsidRDefault="00912904" w:rsidP="00912904">
      <w:pPr>
        <w:rPr>
          <w:sz w:val="28"/>
        </w:rPr>
      </w:pPr>
      <w:r w:rsidRPr="0006442F">
        <w:rPr>
          <w:b/>
          <w:sz w:val="28"/>
        </w:rPr>
        <w:t xml:space="preserve">Statutory Officer:  </w:t>
      </w:r>
      <w:r w:rsidR="008249C0" w:rsidRPr="0006442F">
        <w:rPr>
          <w:b/>
          <w:sz w:val="28"/>
        </w:rPr>
        <w:t>Sharon Clarke</w:t>
      </w:r>
    </w:p>
    <w:p w14:paraId="3F58D77A" w14:textId="5B53C837" w:rsidR="00912904" w:rsidRPr="0006442F" w:rsidRDefault="00912904" w:rsidP="00912904">
      <w:r w:rsidRPr="0006442F">
        <w:t>Signed on behalf of the Monitoring Officer</w:t>
      </w:r>
    </w:p>
    <w:p w14:paraId="1C88BE00" w14:textId="04FF9043" w:rsidR="009303ED" w:rsidRPr="0006442F" w:rsidRDefault="00912904" w:rsidP="009303ED">
      <w:pPr>
        <w:spacing w:after="480"/>
        <w:rPr>
          <w:sz w:val="28"/>
        </w:rPr>
      </w:pPr>
      <w:r w:rsidRPr="0006442F">
        <w:rPr>
          <w:b/>
          <w:sz w:val="28"/>
        </w:rPr>
        <w:t>Date:</w:t>
      </w:r>
      <w:r w:rsidR="0006442F" w:rsidRPr="0006442F">
        <w:rPr>
          <w:b/>
          <w:sz w:val="28"/>
        </w:rPr>
        <w:t xml:space="preserve"> 22</w:t>
      </w:r>
      <w:r w:rsidR="008249C0" w:rsidRPr="0006442F">
        <w:rPr>
          <w:b/>
          <w:sz w:val="28"/>
        </w:rPr>
        <w:t xml:space="preserve"> </w:t>
      </w:r>
      <w:r w:rsidR="000D4F48" w:rsidRPr="0006442F">
        <w:rPr>
          <w:b/>
          <w:sz w:val="28"/>
        </w:rPr>
        <w:t>March 2024</w:t>
      </w:r>
    </w:p>
    <w:p w14:paraId="2019A53D" w14:textId="602820E6" w:rsidR="00912904" w:rsidRPr="0006442F" w:rsidRDefault="004A4A1D" w:rsidP="00912904">
      <w:pPr>
        <w:rPr>
          <w:sz w:val="28"/>
        </w:rPr>
      </w:pPr>
      <w:r w:rsidRPr="0006442F">
        <w:rPr>
          <w:b/>
          <w:sz w:val="28"/>
        </w:rPr>
        <w:t>Chief</w:t>
      </w:r>
      <w:r w:rsidR="00912904" w:rsidRPr="0006442F">
        <w:rPr>
          <w:b/>
          <w:sz w:val="28"/>
        </w:rPr>
        <w:t xml:space="preserve"> Officer:  </w:t>
      </w:r>
      <w:r w:rsidR="001E66A8" w:rsidRPr="0006442F">
        <w:rPr>
          <w:b/>
          <w:sz w:val="28"/>
        </w:rPr>
        <w:t>Sharon Daniels</w:t>
      </w:r>
    </w:p>
    <w:p w14:paraId="12E4D11B" w14:textId="7C324D23" w:rsidR="00912904" w:rsidRPr="0006442F" w:rsidRDefault="00365D29" w:rsidP="00912904">
      <w:r w:rsidRPr="0006442F">
        <w:t>Signed</w:t>
      </w:r>
      <w:r w:rsidR="00912904" w:rsidRPr="0006442F">
        <w:t xml:space="preserve"> </w:t>
      </w:r>
      <w:r w:rsidR="00017448" w:rsidRPr="0006442F">
        <w:t>on behalf of</w:t>
      </w:r>
      <w:r w:rsidR="00912904" w:rsidRPr="0006442F">
        <w:t xml:space="preserve"> the </w:t>
      </w:r>
      <w:r w:rsidR="006519E8" w:rsidRPr="0006442F">
        <w:t>Chief Executive</w:t>
      </w:r>
    </w:p>
    <w:p w14:paraId="0B8C3BCD" w14:textId="75B04391" w:rsidR="009303ED" w:rsidRPr="00AA344B" w:rsidRDefault="00912904" w:rsidP="009303ED">
      <w:pPr>
        <w:spacing w:after="480"/>
        <w:rPr>
          <w:sz w:val="28"/>
        </w:rPr>
      </w:pPr>
      <w:r w:rsidRPr="0006442F">
        <w:rPr>
          <w:b/>
          <w:sz w:val="28"/>
        </w:rPr>
        <w:t>Date:</w:t>
      </w:r>
      <w:r w:rsidR="0006442F" w:rsidRPr="0006442F">
        <w:rPr>
          <w:b/>
          <w:sz w:val="28"/>
        </w:rPr>
        <w:t xml:space="preserve"> 22</w:t>
      </w:r>
      <w:r w:rsidR="00AA344B" w:rsidRPr="0006442F">
        <w:rPr>
          <w:b/>
          <w:sz w:val="28"/>
        </w:rPr>
        <w:t xml:space="preserve"> March 2024</w:t>
      </w:r>
    </w:p>
    <w:p w14:paraId="686CE5D8" w14:textId="77777777" w:rsidR="00912904" w:rsidRPr="00E44228" w:rsidRDefault="00912904" w:rsidP="00912904">
      <w:pPr>
        <w:pStyle w:val="Heading2"/>
        <w:spacing w:after="240"/>
      </w:pPr>
      <w:r w:rsidRPr="00E44228">
        <w:t>Mandatory Checks</w:t>
      </w:r>
    </w:p>
    <w:p w14:paraId="71FBC41D" w14:textId="07B4AF47" w:rsidR="00912904" w:rsidRPr="00E44228" w:rsidRDefault="00912904" w:rsidP="007B6C97">
      <w:pPr>
        <w:pStyle w:val="Heading3"/>
        <w:ind w:left="0" w:firstLine="0"/>
        <w:rPr>
          <w:i/>
          <w:color w:val="FF0000"/>
          <w:szCs w:val="24"/>
        </w:rPr>
      </w:pPr>
      <w:r w:rsidRPr="00E44228">
        <w:rPr>
          <w:sz w:val="28"/>
        </w:rPr>
        <w:t>Ward Councillors notified:  N</w:t>
      </w:r>
      <w:r w:rsidR="00017448" w:rsidRPr="00E44228">
        <w:rPr>
          <w:sz w:val="28"/>
        </w:rPr>
        <w:t>ot Applicable</w:t>
      </w:r>
      <w:r w:rsidRPr="00E44228">
        <w:rPr>
          <w:i/>
          <w:color w:val="FF0000"/>
          <w:szCs w:val="24"/>
        </w:rPr>
        <w:t xml:space="preserve"> </w:t>
      </w:r>
    </w:p>
    <w:p w14:paraId="629F8205" w14:textId="77777777" w:rsidR="002A2389" w:rsidRPr="00646913" w:rsidRDefault="002A2389" w:rsidP="00912904">
      <w:pPr>
        <w:pStyle w:val="Heading2"/>
        <w:keepNext/>
        <w:spacing w:after="240"/>
      </w:pPr>
      <w:r w:rsidRPr="00646913">
        <w:t>Section 4 - Contact Details and Background Papers</w:t>
      </w:r>
    </w:p>
    <w:p w14:paraId="60BFDA03" w14:textId="1F46D1FF" w:rsidR="00183CB6" w:rsidRPr="00646913" w:rsidRDefault="00183CB6" w:rsidP="00183CB6">
      <w:pPr>
        <w:pStyle w:val="Infotext"/>
        <w:rPr>
          <w:sz w:val="24"/>
          <w:szCs w:val="24"/>
        </w:rPr>
      </w:pPr>
      <w:r w:rsidRPr="00646913">
        <w:rPr>
          <w:b/>
        </w:rPr>
        <w:t>Contact:</w:t>
      </w:r>
      <w:r w:rsidRPr="00646913">
        <w:t xml:space="preserve">  </w:t>
      </w:r>
      <w:r w:rsidR="00646913" w:rsidRPr="00646913">
        <w:t>Miriam Adams</w:t>
      </w:r>
      <w:r w:rsidR="008D2194" w:rsidRPr="00646913">
        <w:rPr>
          <w:sz w:val="24"/>
          <w:szCs w:val="24"/>
        </w:rPr>
        <w:t xml:space="preserve"> - Interim</w:t>
      </w:r>
      <w:r w:rsidRPr="00646913">
        <w:rPr>
          <w:sz w:val="24"/>
          <w:szCs w:val="24"/>
        </w:rPr>
        <w:t xml:space="preserve"> </w:t>
      </w:r>
      <w:r w:rsidR="00646913" w:rsidRPr="00646913">
        <w:rPr>
          <w:sz w:val="24"/>
          <w:szCs w:val="24"/>
        </w:rPr>
        <w:t xml:space="preserve">Treasury and </w:t>
      </w:r>
      <w:r w:rsidRPr="00646913">
        <w:rPr>
          <w:sz w:val="24"/>
          <w:szCs w:val="24"/>
        </w:rPr>
        <w:t>Pensions Manager</w:t>
      </w:r>
    </w:p>
    <w:p w14:paraId="3B1B9F4C" w14:textId="3B95D683" w:rsidR="00183CB6" w:rsidRPr="00646913" w:rsidRDefault="00183CB6" w:rsidP="00183CB6">
      <w:pPr>
        <w:pStyle w:val="Infotext"/>
        <w:rPr>
          <w:sz w:val="24"/>
          <w:szCs w:val="24"/>
        </w:rPr>
      </w:pPr>
      <w:r w:rsidRPr="00646913">
        <w:rPr>
          <w:sz w:val="24"/>
          <w:szCs w:val="24"/>
        </w:rPr>
        <w:t xml:space="preserve">Email: </w:t>
      </w:r>
      <w:hyperlink r:id="rId11" w:history="1">
        <w:r w:rsidR="00646913" w:rsidRPr="00646913">
          <w:rPr>
            <w:rStyle w:val="Hyperlink"/>
            <w:sz w:val="24"/>
            <w:szCs w:val="24"/>
          </w:rPr>
          <w:t>Miriam.Adams@harrow.gov.uk</w:t>
        </w:r>
      </w:hyperlink>
    </w:p>
    <w:p w14:paraId="1C4BF2D4" w14:textId="3E50D6E9" w:rsidR="002A2389" w:rsidRPr="008C6054" w:rsidRDefault="002A2389">
      <w:pPr>
        <w:pStyle w:val="Infotext"/>
        <w:rPr>
          <w:highlight w:val="yellow"/>
        </w:rPr>
      </w:pPr>
    </w:p>
    <w:p w14:paraId="28AF6FE8" w14:textId="05E6E968" w:rsidR="002A2389" w:rsidRDefault="002A2389" w:rsidP="00912904">
      <w:pPr>
        <w:pStyle w:val="Infotext"/>
        <w:spacing w:before="360"/>
        <w:rPr>
          <w:rFonts w:cs="Arial"/>
          <w:sz w:val="24"/>
        </w:rPr>
      </w:pPr>
      <w:r w:rsidRPr="00187DBF">
        <w:rPr>
          <w:b/>
        </w:rPr>
        <w:t>Background Papers</w:t>
      </w:r>
      <w:r w:rsidRPr="00187DBF">
        <w:t xml:space="preserve">:  </w:t>
      </w:r>
      <w:r w:rsidR="007B6C97" w:rsidRPr="00187DBF">
        <w:rPr>
          <w:rFonts w:cs="Arial"/>
          <w:sz w:val="24"/>
        </w:rPr>
        <w:t>None</w:t>
      </w:r>
    </w:p>
    <w:p w14:paraId="774E1181" w14:textId="77777777" w:rsidR="00EB6B63" w:rsidRDefault="00EB6B63" w:rsidP="00912904">
      <w:pPr>
        <w:pStyle w:val="Infotext"/>
        <w:spacing w:before="360"/>
      </w:pPr>
    </w:p>
    <w:sectPr w:rsidR="00EB6B63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21D0" w14:textId="77777777" w:rsidR="00947463" w:rsidRDefault="00947463">
      <w:r>
        <w:separator/>
      </w:r>
    </w:p>
  </w:endnote>
  <w:endnote w:type="continuationSeparator" w:id="0">
    <w:p w14:paraId="35CCCC9C" w14:textId="77777777" w:rsidR="00947463" w:rsidRDefault="0094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9D79" w14:textId="77777777" w:rsidR="00947463" w:rsidRDefault="00947463">
      <w:r>
        <w:separator/>
      </w:r>
    </w:p>
  </w:footnote>
  <w:footnote w:type="continuationSeparator" w:id="0">
    <w:p w14:paraId="1C8F3A4C" w14:textId="77777777" w:rsidR="00947463" w:rsidRDefault="0094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347B"/>
    <w:multiLevelType w:val="hybridMultilevel"/>
    <w:tmpl w:val="2018A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585F"/>
    <w:multiLevelType w:val="hybridMultilevel"/>
    <w:tmpl w:val="1F3C8D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36D"/>
    <w:multiLevelType w:val="hybridMultilevel"/>
    <w:tmpl w:val="DD7450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FD5EBE"/>
    <w:multiLevelType w:val="hybridMultilevel"/>
    <w:tmpl w:val="F76442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5C6196"/>
    <w:multiLevelType w:val="hybridMultilevel"/>
    <w:tmpl w:val="FC0846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CF5D01"/>
    <w:multiLevelType w:val="hybridMultilevel"/>
    <w:tmpl w:val="770814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C6ABC"/>
    <w:multiLevelType w:val="hybridMultilevel"/>
    <w:tmpl w:val="DC72C0D4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D25EED"/>
    <w:multiLevelType w:val="hybridMultilevel"/>
    <w:tmpl w:val="CD2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83FF4"/>
    <w:multiLevelType w:val="hybridMultilevel"/>
    <w:tmpl w:val="6C9AF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552C4"/>
    <w:multiLevelType w:val="hybridMultilevel"/>
    <w:tmpl w:val="C682FA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DD3C49"/>
    <w:multiLevelType w:val="hybridMultilevel"/>
    <w:tmpl w:val="1B5630D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4477E4"/>
    <w:multiLevelType w:val="hybridMultilevel"/>
    <w:tmpl w:val="5ABA19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611059D"/>
    <w:multiLevelType w:val="multilevel"/>
    <w:tmpl w:val="F198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BA6C02"/>
    <w:multiLevelType w:val="hybridMultilevel"/>
    <w:tmpl w:val="C812E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A144F"/>
    <w:multiLevelType w:val="hybridMultilevel"/>
    <w:tmpl w:val="94B42C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16D6988"/>
    <w:multiLevelType w:val="hybridMultilevel"/>
    <w:tmpl w:val="C86099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332F8E"/>
    <w:multiLevelType w:val="hybridMultilevel"/>
    <w:tmpl w:val="45A09B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F0F5459"/>
    <w:multiLevelType w:val="hybridMultilevel"/>
    <w:tmpl w:val="3C107F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B7EB3"/>
    <w:multiLevelType w:val="hybridMultilevel"/>
    <w:tmpl w:val="BE36B83A"/>
    <w:lvl w:ilvl="0" w:tplc="0809001B">
      <w:start w:val="1"/>
      <w:numFmt w:val="lowerRoman"/>
      <w:lvlText w:val="%1."/>
      <w:lvlJc w:val="right"/>
      <w:pPr>
        <w:ind w:left="944" w:hanging="360"/>
      </w:p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41A8"/>
    <w:multiLevelType w:val="hybridMultilevel"/>
    <w:tmpl w:val="27C06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9B1792"/>
    <w:multiLevelType w:val="hybridMultilevel"/>
    <w:tmpl w:val="DF765422"/>
    <w:lvl w:ilvl="0" w:tplc="4D0078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916E5"/>
    <w:multiLevelType w:val="hybridMultilevel"/>
    <w:tmpl w:val="15B4D9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07E2874"/>
    <w:multiLevelType w:val="hybridMultilevel"/>
    <w:tmpl w:val="4C4695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3577A64"/>
    <w:multiLevelType w:val="hybridMultilevel"/>
    <w:tmpl w:val="E9700216"/>
    <w:lvl w:ilvl="0" w:tplc="15CA3628">
      <w:start w:val="15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6" w15:restartNumberingAfterBreak="0">
    <w:nsid w:val="54CA1C4B"/>
    <w:multiLevelType w:val="hybridMultilevel"/>
    <w:tmpl w:val="45540E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F6597"/>
    <w:multiLevelType w:val="hybridMultilevel"/>
    <w:tmpl w:val="1A3A65DE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0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3684F"/>
    <w:multiLevelType w:val="hybridMultilevel"/>
    <w:tmpl w:val="8318A9AE"/>
    <w:lvl w:ilvl="0" w:tplc="2704230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B079B"/>
    <w:multiLevelType w:val="hybridMultilevel"/>
    <w:tmpl w:val="8E4A0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1F7072"/>
    <w:multiLevelType w:val="hybridMultilevel"/>
    <w:tmpl w:val="0B32B6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65995">
    <w:abstractNumId w:val="41"/>
  </w:num>
  <w:num w:numId="2" w16cid:durableId="1921325640">
    <w:abstractNumId w:val="30"/>
  </w:num>
  <w:num w:numId="3" w16cid:durableId="1356693287">
    <w:abstractNumId w:val="40"/>
  </w:num>
  <w:num w:numId="4" w16cid:durableId="1348369598">
    <w:abstractNumId w:val="1"/>
  </w:num>
  <w:num w:numId="5" w16cid:durableId="20199648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524191">
    <w:abstractNumId w:val="22"/>
  </w:num>
  <w:num w:numId="7" w16cid:durableId="1386833695">
    <w:abstractNumId w:val="25"/>
  </w:num>
  <w:num w:numId="8" w16cid:durableId="1541354287">
    <w:abstractNumId w:val="13"/>
  </w:num>
  <w:num w:numId="9" w16cid:durableId="98378139">
    <w:abstractNumId w:val="9"/>
  </w:num>
  <w:num w:numId="10" w16cid:durableId="896091699">
    <w:abstractNumId w:val="38"/>
  </w:num>
  <w:num w:numId="11" w16cid:durableId="792402225">
    <w:abstractNumId w:val="45"/>
  </w:num>
  <w:num w:numId="12" w16cid:durableId="67307889">
    <w:abstractNumId w:val="37"/>
  </w:num>
  <w:num w:numId="13" w16cid:durableId="1962762317">
    <w:abstractNumId w:val="4"/>
  </w:num>
  <w:num w:numId="14" w16cid:durableId="697201420">
    <w:abstractNumId w:val="19"/>
  </w:num>
  <w:num w:numId="15" w16cid:durableId="1810512730">
    <w:abstractNumId w:val="29"/>
  </w:num>
  <w:num w:numId="16" w16cid:durableId="1373574059">
    <w:abstractNumId w:val="11"/>
  </w:num>
  <w:num w:numId="17" w16cid:durableId="540554566">
    <w:abstractNumId w:val="43"/>
  </w:num>
  <w:num w:numId="18" w16cid:durableId="1923373673">
    <w:abstractNumId w:val="42"/>
  </w:num>
  <w:num w:numId="19" w16cid:durableId="255794258">
    <w:abstractNumId w:val="32"/>
  </w:num>
  <w:num w:numId="20" w16cid:durableId="1468162388">
    <w:abstractNumId w:val="0"/>
  </w:num>
  <w:num w:numId="21" w16cid:durableId="421923255">
    <w:abstractNumId w:val="6"/>
  </w:num>
  <w:num w:numId="22" w16cid:durableId="928730588">
    <w:abstractNumId w:val="36"/>
  </w:num>
  <w:num w:numId="23" w16cid:durableId="599681206">
    <w:abstractNumId w:val="14"/>
  </w:num>
  <w:num w:numId="24" w16cid:durableId="1677926623">
    <w:abstractNumId w:val="5"/>
  </w:num>
  <w:num w:numId="25" w16cid:durableId="639723455">
    <w:abstractNumId w:val="12"/>
  </w:num>
  <w:num w:numId="26" w16cid:durableId="126826156">
    <w:abstractNumId w:val="35"/>
  </w:num>
  <w:num w:numId="27" w16cid:durableId="1735271561">
    <w:abstractNumId w:val="7"/>
  </w:num>
  <w:num w:numId="28" w16cid:durableId="944505646">
    <w:abstractNumId w:val="24"/>
  </w:num>
  <w:num w:numId="29" w16cid:durableId="1839156675">
    <w:abstractNumId w:val="10"/>
  </w:num>
  <w:num w:numId="30" w16cid:durableId="1395205232">
    <w:abstractNumId w:val="28"/>
  </w:num>
  <w:num w:numId="31" w16cid:durableId="1902985239">
    <w:abstractNumId w:val="21"/>
  </w:num>
  <w:num w:numId="32" w16cid:durableId="871113823">
    <w:abstractNumId w:val="31"/>
  </w:num>
  <w:num w:numId="33" w16cid:durableId="534121542">
    <w:abstractNumId w:val="34"/>
  </w:num>
  <w:num w:numId="34" w16cid:durableId="807166312">
    <w:abstractNumId w:val="27"/>
  </w:num>
  <w:num w:numId="35" w16cid:durableId="543450785">
    <w:abstractNumId w:val="23"/>
  </w:num>
  <w:num w:numId="36" w16cid:durableId="349837640">
    <w:abstractNumId w:val="3"/>
  </w:num>
  <w:num w:numId="37" w16cid:durableId="265700381">
    <w:abstractNumId w:val="33"/>
  </w:num>
  <w:num w:numId="38" w16cid:durableId="3259410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766957">
    <w:abstractNumId w:val="15"/>
  </w:num>
  <w:num w:numId="40" w16cid:durableId="1100757429">
    <w:abstractNumId w:val="16"/>
  </w:num>
  <w:num w:numId="41" w16cid:durableId="393163597">
    <w:abstractNumId w:val="26"/>
  </w:num>
  <w:num w:numId="42" w16cid:durableId="1800607864">
    <w:abstractNumId w:val="44"/>
  </w:num>
  <w:num w:numId="43" w16cid:durableId="2024086440">
    <w:abstractNumId w:val="20"/>
  </w:num>
  <w:num w:numId="44" w16cid:durableId="2121297747">
    <w:abstractNumId w:val="8"/>
  </w:num>
  <w:num w:numId="45" w16cid:durableId="2031712023">
    <w:abstractNumId w:val="2"/>
  </w:num>
  <w:num w:numId="46" w16cid:durableId="501312172">
    <w:abstractNumId w:val="18"/>
  </w:num>
  <w:num w:numId="47" w16cid:durableId="6503309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1D28"/>
    <w:rsid w:val="00007359"/>
    <w:rsid w:val="0001165A"/>
    <w:rsid w:val="00012802"/>
    <w:rsid w:val="00012C71"/>
    <w:rsid w:val="00017448"/>
    <w:rsid w:val="000239EA"/>
    <w:rsid w:val="00023F4C"/>
    <w:rsid w:val="00030E4F"/>
    <w:rsid w:val="000345F8"/>
    <w:rsid w:val="00035130"/>
    <w:rsid w:val="000351AE"/>
    <w:rsid w:val="00035BC2"/>
    <w:rsid w:val="000448D4"/>
    <w:rsid w:val="00044945"/>
    <w:rsid w:val="000526EB"/>
    <w:rsid w:val="00052E8B"/>
    <w:rsid w:val="00057F10"/>
    <w:rsid w:val="0006145E"/>
    <w:rsid w:val="00061BEF"/>
    <w:rsid w:val="000633A2"/>
    <w:rsid w:val="0006442F"/>
    <w:rsid w:val="000672B2"/>
    <w:rsid w:val="000706C6"/>
    <w:rsid w:val="00071EB4"/>
    <w:rsid w:val="00074CA8"/>
    <w:rsid w:val="00075055"/>
    <w:rsid w:val="00077298"/>
    <w:rsid w:val="00077648"/>
    <w:rsid w:val="00095463"/>
    <w:rsid w:val="000A0114"/>
    <w:rsid w:val="000A2291"/>
    <w:rsid w:val="000A58A1"/>
    <w:rsid w:val="000A6659"/>
    <w:rsid w:val="000B0E6F"/>
    <w:rsid w:val="000B206F"/>
    <w:rsid w:val="000B39BD"/>
    <w:rsid w:val="000B6DBB"/>
    <w:rsid w:val="000C4C33"/>
    <w:rsid w:val="000D0D4B"/>
    <w:rsid w:val="000D2BF2"/>
    <w:rsid w:val="000D434D"/>
    <w:rsid w:val="000D4F48"/>
    <w:rsid w:val="000D5870"/>
    <w:rsid w:val="000E1DF6"/>
    <w:rsid w:val="000E7DEA"/>
    <w:rsid w:val="000F2C34"/>
    <w:rsid w:val="000F4C29"/>
    <w:rsid w:val="000F656C"/>
    <w:rsid w:val="000F65C0"/>
    <w:rsid w:val="00101772"/>
    <w:rsid w:val="00111109"/>
    <w:rsid w:val="001228E6"/>
    <w:rsid w:val="00131AED"/>
    <w:rsid w:val="00135B2B"/>
    <w:rsid w:val="0013652A"/>
    <w:rsid w:val="00140AF9"/>
    <w:rsid w:val="001429F9"/>
    <w:rsid w:val="00143EFA"/>
    <w:rsid w:val="00147157"/>
    <w:rsid w:val="00147346"/>
    <w:rsid w:val="001635D9"/>
    <w:rsid w:val="00164428"/>
    <w:rsid w:val="00164E26"/>
    <w:rsid w:val="0016649B"/>
    <w:rsid w:val="00167994"/>
    <w:rsid w:val="001728B7"/>
    <w:rsid w:val="00173117"/>
    <w:rsid w:val="001744D1"/>
    <w:rsid w:val="001771A3"/>
    <w:rsid w:val="00183CB6"/>
    <w:rsid w:val="00185F77"/>
    <w:rsid w:val="00187B8C"/>
    <w:rsid w:val="00187DBF"/>
    <w:rsid w:val="00190CD6"/>
    <w:rsid w:val="00192DF2"/>
    <w:rsid w:val="001939BA"/>
    <w:rsid w:val="00195622"/>
    <w:rsid w:val="001A319C"/>
    <w:rsid w:val="001A63E1"/>
    <w:rsid w:val="001A6EB0"/>
    <w:rsid w:val="001A7DB6"/>
    <w:rsid w:val="001B1A2E"/>
    <w:rsid w:val="001B441D"/>
    <w:rsid w:val="001C1888"/>
    <w:rsid w:val="001C2CBC"/>
    <w:rsid w:val="001C3C15"/>
    <w:rsid w:val="001C5225"/>
    <w:rsid w:val="001C5A26"/>
    <w:rsid w:val="001C67BD"/>
    <w:rsid w:val="001C7067"/>
    <w:rsid w:val="001C7629"/>
    <w:rsid w:val="001D42C0"/>
    <w:rsid w:val="001E0219"/>
    <w:rsid w:val="001E0486"/>
    <w:rsid w:val="001E66A8"/>
    <w:rsid w:val="001E752F"/>
    <w:rsid w:val="001E78C8"/>
    <w:rsid w:val="001F27EE"/>
    <w:rsid w:val="001F6359"/>
    <w:rsid w:val="00201383"/>
    <w:rsid w:val="00201A56"/>
    <w:rsid w:val="002025B3"/>
    <w:rsid w:val="002078C0"/>
    <w:rsid w:val="00213BE7"/>
    <w:rsid w:val="00231A1D"/>
    <w:rsid w:val="00232108"/>
    <w:rsid w:val="00232A22"/>
    <w:rsid w:val="00234155"/>
    <w:rsid w:val="00244120"/>
    <w:rsid w:val="0024584C"/>
    <w:rsid w:val="00251169"/>
    <w:rsid w:val="002825CA"/>
    <w:rsid w:val="00282DAB"/>
    <w:rsid w:val="00283A4A"/>
    <w:rsid w:val="00283C9F"/>
    <w:rsid w:val="00286484"/>
    <w:rsid w:val="0029126E"/>
    <w:rsid w:val="002921BD"/>
    <w:rsid w:val="00293F9F"/>
    <w:rsid w:val="00295B9E"/>
    <w:rsid w:val="002A01D1"/>
    <w:rsid w:val="002A2389"/>
    <w:rsid w:val="002A3689"/>
    <w:rsid w:val="002B4A47"/>
    <w:rsid w:val="002C08E2"/>
    <w:rsid w:val="002C1794"/>
    <w:rsid w:val="002C62F1"/>
    <w:rsid w:val="002D2FC5"/>
    <w:rsid w:val="002E6637"/>
    <w:rsid w:val="002E77E3"/>
    <w:rsid w:val="002F2A95"/>
    <w:rsid w:val="002F343E"/>
    <w:rsid w:val="00300B52"/>
    <w:rsid w:val="00324778"/>
    <w:rsid w:val="003323E5"/>
    <w:rsid w:val="00332947"/>
    <w:rsid w:val="00333EB4"/>
    <w:rsid w:val="00340BE8"/>
    <w:rsid w:val="003453FF"/>
    <w:rsid w:val="00345915"/>
    <w:rsid w:val="00345D9F"/>
    <w:rsid w:val="003500A1"/>
    <w:rsid w:val="00351F6B"/>
    <w:rsid w:val="00360A81"/>
    <w:rsid w:val="00364488"/>
    <w:rsid w:val="00365D29"/>
    <w:rsid w:val="003704BB"/>
    <w:rsid w:val="00374C7C"/>
    <w:rsid w:val="00374F22"/>
    <w:rsid w:val="003906B6"/>
    <w:rsid w:val="00391298"/>
    <w:rsid w:val="00396806"/>
    <w:rsid w:val="003D2FFE"/>
    <w:rsid w:val="003D3DA8"/>
    <w:rsid w:val="003D5F0A"/>
    <w:rsid w:val="003F0B3C"/>
    <w:rsid w:val="003F385A"/>
    <w:rsid w:val="003F5AF9"/>
    <w:rsid w:val="00400032"/>
    <w:rsid w:val="00406777"/>
    <w:rsid w:val="00410103"/>
    <w:rsid w:val="00412242"/>
    <w:rsid w:val="00414C40"/>
    <w:rsid w:val="00415504"/>
    <w:rsid w:val="00415EA1"/>
    <w:rsid w:val="0042394B"/>
    <w:rsid w:val="0042447F"/>
    <w:rsid w:val="00430DFF"/>
    <w:rsid w:val="004364E7"/>
    <w:rsid w:val="00436F74"/>
    <w:rsid w:val="0044467B"/>
    <w:rsid w:val="00446EFB"/>
    <w:rsid w:val="0045301E"/>
    <w:rsid w:val="0045365E"/>
    <w:rsid w:val="004540B8"/>
    <w:rsid w:val="00454B0A"/>
    <w:rsid w:val="00473B08"/>
    <w:rsid w:val="00474A6E"/>
    <w:rsid w:val="00474B5F"/>
    <w:rsid w:val="00477344"/>
    <w:rsid w:val="00484554"/>
    <w:rsid w:val="00484E6A"/>
    <w:rsid w:val="00493EF3"/>
    <w:rsid w:val="004A3CE6"/>
    <w:rsid w:val="004A4A1D"/>
    <w:rsid w:val="004B1F65"/>
    <w:rsid w:val="004B2C9D"/>
    <w:rsid w:val="004B4A47"/>
    <w:rsid w:val="004C1AEC"/>
    <w:rsid w:val="004C603C"/>
    <w:rsid w:val="004D0EFF"/>
    <w:rsid w:val="004E3FBD"/>
    <w:rsid w:val="004E667D"/>
    <w:rsid w:val="004E6AF9"/>
    <w:rsid w:val="004F4265"/>
    <w:rsid w:val="004F6C28"/>
    <w:rsid w:val="004F6DD8"/>
    <w:rsid w:val="00502F94"/>
    <w:rsid w:val="005031DF"/>
    <w:rsid w:val="0050363C"/>
    <w:rsid w:val="00506391"/>
    <w:rsid w:val="00517A3F"/>
    <w:rsid w:val="00521709"/>
    <w:rsid w:val="00522E44"/>
    <w:rsid w:val="0052671C"/>
    <w:rsid w:val="00527665"/>
    <w:rsid w:val="0053037D"/>
    <w:rsid w:val="005309D0"/>
    <w:rsid w:val="00531599"/>
    <w:rsid w:val="00534E65"/>
    <w:rsid w:val="00550022"/>
    <w:rsid w:val="005532DF"/>
    <w:rsid w:val="005608EF"/>
    <w:rsid w:val="00561EC5"/>
    <w:rsid w:val="005760B8"/>
    <w:rsid w:val="005821C4"/>
    <w:rsid w:val="00597314"/>
    <w:rsid w:val="005A3555"/>
    <w:rsid w:val="005A36DB"/>
    <w:rsid w:val="005A42D4"/>
    <w:rsid w:val="005A511F"/>
    <w:rsid w:val="005A61AF"/>
    <w:rsid w:val="005B1C57"/>
    <w:rsid w:val="005C5FCE"/>
    <w:rsid w:val="005D0886"/>
    <w:rsid w:val="005D0D93"/>
    <w:rsid w:val="005D3D79"/>
    <w:rsid w:val="005D43D1"/>
    <w:rsid w:val="005E205E"/>
    <w:rsid w:val="005E384D"/>
    <w:rsid w:val="005F2181"/>
    <w:rsid w:val="005F5EA4"/>
    <w:rsid w:val="005F724B"/>
    <w:rsid w:val="00601047"/>
    <w:rsid w:val="00603EC9"/>
    <w:rsid w:val="00606227"/>
    <w:rsid w:val="00606705"/>
    <w:rsid w:val="00606E4E"/>
    <w:rsid w:val="00607F96"/>
    <w:rsid w:val="00612805"/>
    <w:rsid w:val="00616845"/>
    <w:rsid w:val="00624097"/>
    <w:rsid w:val="00625DFF"/>
    <w:rsid w:val="00627A9E"/>
    <w:rsid w:val="0063072B"/>
    <w:rsid w:val="00631D37"/>
    <w:rsid w:val="00642F09"/>
    <w:rsid w:val="00646913"/>
    <w:rsid w:val="006519E8"/>
    <w:rsid w:val="00651BC5"/>
    <w:rsid w:val="00662891"/>
    <w:rsid w:val="006628B7"/>
    <w:rsid w:val="00667E25"/>
    <w:rsid w:val="00675FCB"/>
    <w:rsid w:val="00676B30"/>
    <w:rsid w:val="00690F76"/>
    <w:rsid w:val="00693B96"/>
    <w:rsid w:val="00696012"/>
    <w:rsid w:val="006A0B87"/>
    <w:rsid w:val="006A6A85"/>
    <w:rsid w:val="006B3942"/>
    <w:rsid w:val="006B793D"/>
    <w:rsid w:val="006C1B8B"/>
    <w:rsid w:val="006C3914"/>
    <w:rsid w:val="006C4D4C"/>
    <w:rsid w:val="006C7DA9"/>
    <w:rsid w:val="006D0E7A"/>
    <w:rsid w:val="006D3648"/>
    <w:rsid w:val="006D3833"/>
    <w:rsid w:val="006D4333"/>
    <w:rsid w:val="006D754A"/>
    <w:rsid w:val="006E38C6"/>
    <w:rsid w:val="006E5A21"/>
    <w:rsid w:val="006F77DA"/>
    <w:rsid w:val="00700037"/>
    <w:rsid w:val="00714588"/>
    <w:rsid w:val="00716046"/>
    <w:rsid w:val="00717E8A"/>
    <w:rsid w:val="007220D9"/>
    <w:rsid w:val="00723901"/>
    <w:rsid w:val="00724D64"/>
    <w:rsid w:val="00733008"/>
    <w:rsid w:val="0074184E"/>
    <w:rsid w:val="00741AFA"/>
    <w:rsid w:val="00743829"/>
    <w:rsid w:val="00744CD3"/>
    <w:rsid w:val="007468FC"/>
    <w:rsid w:val="00750FB2"/>
    <w:rsid w:val="00751C86"/>
    <w:rsid w:val="00752C1A"/>
    <w:rsid w:val="00755881"/>
    <w:rsid w:val="00755F8D"/>
    <w:rsid w:val="00760449"/>
    <w:rsid w:val="0076284C"/>
    <w:rsid w:val="0077035B"/>
    <w:rsid w:val="00784A42"/>
    <w:rsid w:val="007855AE"/>
    <w:rsid w:val="007875D0"/>
    <w:rsid w:val="00793E80"/>
    <w:rsid w:val="00794F28"/>
    <w:rsid w:val="0079608D"/>
    <w:rsid w:val="00796503"/>
    <w:rsid w:val="0079669A"/>
    <w:rsid w:val="00796D4D"/>
    <w:rsid w:val="007A37A4"/>
    <w:rsid w:val="007A42EC"/>
    <w:rsid w:val="007A595C"/>
    <w:rsid w:val="007B0CB6"/>
    <w:rsid w:val="007B1BBB"/>
    <w:rsid w:val="007B3EB8"/>
    <w:rsid w:val="007B6C97"/>
    <w:rsid w:val="007C1B7F"/>
    <w:rsid w:val="007C6FE5"/>
    <w:rsid w:val="007D22A9"/>
    <w:rsid w:val="007D2BDA"/>
    <w:rsid w:val="007D56C8"/>
    <w:rsid w:val="007E0B61"/>
    <w:rsid w:val="007E0D52"/>
    <w:rsid w:val="007E3934"/>
    <w:rsid w:val="007E41EE"/>
    <w:rsid w:val="007E430C"/>
    <w:rsid w:val="007E7303"/>
    <w:rsid w:val="007E7AA4"/>
    <w:rsid w:val="007F0A0A"/>
    <w:rsid w:val="007F1B9D"/>
    <w:rsid w:val="00804C61"/>
    <w:rsid w:val="008166AE"/>
    <w:rsid w:val="00817E0F"/>
    <w:rsid w:val="008212A0"/>
    <w:rsid w:val="0082172F"/>
    <w:rsid w:val="008249C0"/>
    <w:rsid w:val="00827F49"/>
    <w:rsid w:val="00831166"/>
    <w:rsid w:val="008321FD"/>
    <w:rsid w:val="008351D7"/>
    <w:rsid w:val="00837CDF"/>
    <w:rsid w:val="00837F53"/>
    <w:rsid w:val="00837FA7"/>
    <w:rsid w:val="00841E0F"/>
    <w:rsid w:val="00846323"/>
    <w:rsid w:val="00857085"/>
    <w:rsid w:val="0086270A"/>
    <w:rsid w:val="00862DDC"/>
    <w:rsid w:val="0086339F"/>
    <w:rsid w:val="008819CC"/>
    <w:rsid w:val="008827C3"/>
    <w:rsid w:val="00882D18"/>
    <w:rsid w:val="0088617A"/>
    <w:rsid w:val="00887BE6"/>
    <w:rsid w:val="00891FC4"/>
    <w:rsid w:val="008A1180"/>
    <w:rsid w:val="008A19F1"/>
    <w:rsid w:val="008B5B24"/>
    <w:rsid w:val="008B7F89"/>
    <w:rsid w:val="008C6054"/>
    <w:rsid w:val="008D1750"/>
    <w:rsid w:val="008D2194"/>
    <w:rsid w:val="008D7800"/>
    <w:rsid w:val="008E009A"/>
    <w:rsid w:val="008E0CFC"/>
    <w:rsid w:val="008E18F1"/>
    <w:rsid w:val="008E2910"/>
    <w:rsid w:val="008E3430"/>
    <w:rsid w:val="008E4913"/>
    <w:rsid w:val="008E4BDC"/>
    <w:rsid w:val="008E7824"/>
    <w:rsid w:val="008F3496"/>
    <w:rsid w:val="008F4186"/>
    <w:rsid w:val="008F690E"/>
    <w:rsid w:val="00900464"/>
    <w:rsid w:val="0090100E"/>
    <w:rsid w:val="00912904"/>
    <w:rsid w:val="00914538"/>
    <w:rsid w:val="00916AF2"/>
    <w:rsid w:val="00921889"/>
    <w:rsid w:val="00925584"/>
    <w:rsid w:val="009303ED"/>
    <w:rsid w:val="00930F27"/>
    <w:rsid w:val="00932C52"/>
    <w:rsid w:val="0093767E"/>
    <w:rsid w:val="00947463"/>
    <w:rsid w:val="009513C2"/>
    <w:rsid w:val="00960AE2"/>
    <w:rsid w:val="00963D9A"/>
    <w:rsid w:val="009643E8"/>
    <w:rsid w:val="009700CF"/>
    <w:rsid w:val="00972A02"/>
    <w:rsid w:val="00973EFC"/>
    <w:rsid w:val="00977111"/>
    <w:rsid w:val="00977C79"/>
    <w:rsid w:val="0098018C"/>
    <w:rsid w:val="00987933"/>
    <w:rsid w:val="00993721"/>
    <w:rsid w:val="0099517C"/>
    <w:rsid w:val="0099719A"/>
    <w:rsid w:val="009A0937"/>
    <w:rsid w:val="009A730A"/>
    <w:rsid w:val="009B2ECD"/>
    <w:rsid w:val="009B56D7"/>
    <w:rsid w:val="009B6E76"/>
    <w:rsid w:val="009B7914"/>
    <w:rsid w:val="009C09DC"/>
    <w:rsid w:val="009C3DE6"/>
    <w:rsid w:val="009D17DE"/>
    <w:rsid w:val="009D302D"/>
    <w:rsid w:val="009E2098"/>
    <w:rsid w:val="009F430B"/>
    <w:rsid w:val="00A10EA4"/>
    <w:rsid w:val="00A1380B"/>
    <w:rsid w:val="00A160B2"/>
    <w:rsid w:val="00A16271"/>
    <w:rsid w:val="00A22721"/>
    <w:rsid w:val="00A23254"/>
    <w:rsid w:val="00A318CB"/>
    <w:rsid w:val="00A45751"/>
    <w:rsid w:val="00A566E7"/>
    <w:rsid w:val="00A630BF"/>
    <w:rsid w:val="00A6644D"/>
    <w:rsid w:val="00A677DD"/>
    <w:rsid w:val="00A72DC9"/>
    <w:rsid w:val="00A73B25"/>
    <w:rsid w:val="00A77232"/>
    <w:rsid w:val="00A87354"/>
    <w:rsid w:val="00A940D3"/>
    <w:rsid w:val="00A96FCA"/>
    <w:rsid w:val="00AA344B"/>
    <w:rsid w:val="00AA3C21"/>
    <w:rsid w:val="00AA4BE8"/>
    <w:rsid w:val="00AA59E7"/>
    <w:rsid w:val="00AB3509"/>
    <w:rsid w:val="00AB7E48"/>
    <w:rsid w:val="00AC01E2"/>
    <w:rsid w:val="00AC0AAB"/>
    <w:rsid w:val="00AC5593"/>
    <w:rsid w:val="00AC7BA9"/>
    <w:rsid w:val="00AD70FE"/>
    <w:rsid w:val="00AE1441"/>
    <w:rsid w:val="00AE2E5D"/>
    <w:rsid w:val="00AE776B"/>
    <w:rsid w:val="00B0421D"/>
    <w:rsid w:val="00B0425E"/>
    <w:rsid w:val="00B161A9"/>
    <w:rsid w:val="00B21EEA"/>
    <w:rsid w:val="00B36D13"/>
    <w:rsid w:val="00B463D9"/>
    <w:rsid w:val="00B47A22"/>
    <w:rsid w:val="00B5092B"/>
    <w:rsid w:val="00B5183E"/>
    <w:rsid w:val="00B5504D"/>
    <w:rsid w:val="00B562B1"/>
    <w:rsid w:val="00B56703"/>
    <w:rsid w:val="00B70382"/>
    <w:rsid w:val="00B708C9"/>
    <w:rsid w:val="00B80DC7"/>
    <w:rsid w:val="00B8378B"/>
    <w:rsid w:val="00B87E80"/>
    <w:rsid w:val="00B900E2"/>
    <w:rsid w:val="00B902AE"/>
    <w:rsid w:val="00B90671"/>
    <w:rsid w:val="00B9118E"/>
    <w:rsid w:val="00B93DE8"/>
    <w:rsid w:val="00B94A06"/>
    <w:rsid w:val="00BB64E2"/>
    <w:rsid w:val="00BD00DC"/>
    <w:rsid w:val="00BD5C17"/>
    <w:rsid w:val="00BD6115"/>
    <w:rsid w:val="00BD684A"/>
    <w:rsid w:val="00BE1756"/>
    <w:rsid w:val="00BE185D"/>
    <w:rsid w:val="00C00A47"/>
    <w:rsid w:val="00C048B9"/>
    <w:rsid w:val="00C13B81"/>
    <w:rsid w:val="00C20FA2"/>
    <w:rsid w:val="00C2411E"/>
    <w:rsid w:val="00C24A81"/>
    <w:rsid w:val="00C26C12"/>
    <w:rsid w:val="00C27F03"/>
    <w:rsid w:val="00C32DAE"/>
    <w:rsid w:val="00C362B9"/>
    <w:rsid w:val="00C40E24"/>
    <w:rsid w:val="00C4628F"/>
    <w:rsid w:val="00C51829"/>
    <w:rsid w:val="00C51A1B"/>
    <w:rsid w:val="00C6003C"/>
    <w:rsid w:val="00C61B80"/>
    <w:rsid w:val="00C64697"/>
    <w:rsid w:val="00C7291C"/>
    <w:rsid w:val="00C73D0E"/>
    <w:rsid w:val="00C75E2C"/>
    <w:rsid w:val="00C77B1A"/>
    <w:rsid w:val="00C84B52"/>
    <w:rsid w:val="00C92D9A"/>
    <w:rsid w:val="00C96EF5"/>
    <w:rsid w:val="00CA0140"/>
    <w:rsid w:val="00CA4B82"/>
    <w:rsid w:val="00CB1218"/>
    <w:rsid w:val="00CB7085"/>
    <w:rsid w:val="00CC2663"/>
    <w:rsid w:val="00CD1E61"/>
    <w:rsid w:val="00CD41F1"/>
    <w:rsid w:val="00CD5EDA"/>
    <w:rsid w:val="00CE1D3C"/>
    <w:rsid w:val="00CE357B"/>
    <w:rsid w:val="00CE4CCF"/>
    <w:rsid w:val="00CE6980"/>
    <w:rsid w:val="00CF0F17"/>
    <w:rsid w:val="00CF4A33"/>
    <w:rsid w:val="00D03EA3"/>
    <w:rsid w:val="00D05A3A"/>
    <w:rsid w:val="00D07A4A"/>
    <w:rsid w:val="00D2079D"/>
    <w:rsid w:val="00D23272"/>
    <w:rsid w:val="00D24092"/>
    <w:rsid w:val="00D25064"/>
    <w:rsid w:val="00D26FF6"/>
    <w:rsid w:val="00D306A2"/>
    <w:rsid w:val="00D32B51"/>
    <w:rsid w:val="00D34668"/>
    <w:rsid w:val="00D34884"/>
    <w:rsid w:val="00D3740E"/>
    <w:rsid w:val="00D37DFE"/>
    <w:rsid w:val="00D40335"/>
    <w:rsid w:val="00D419E6"/>
    <w:rsid w:val="00D56D80"/>
    <w:rsid w:val="00D7299A"/>
    <w:rsid w:val="00D82F57"/>
    <w:rsid w:val="00D841A5"/>
    <w:rsid w:val="00D84240"/>
    <w:rsid w:val="00D84B42"/>
    <w:rsid w:val="00D85523"/>
    <w:rsid w:val="00D914D2"/>
    <w:rsid w:val="00D91E89"/>
    <w:rsid w:val="00DA25DB"/>
    <w:rsid w:val="00DA7691"/>
    <w:rsid w:val="00DB0791"/>
    <w:rsid w:val="00DB598B"/>
    <w:rsid w:val="00DB68D5"/>
    <w:rsid w:val="00DB7200"/>
    <w:rsid w:val="00DC2C04"/>
    <w:rsid w:val="00DC44C2"/>
    <w:rsid w:val="00DC55F6"/>
    <w:rsid w:val="00DC5D82"/>
    <w:rsid w:val="00DC7B96"/>
    <w:rsid w:val="00DD00A1"/>
    <w:rsid w:val="00DD15E7"/>
    <w:rsid w:val="00DD4251"/>
    <w:rsid w:val="00DE37D0"/>
    <w:rsid w:val="00DF30E7"/>
    <w:rsid w:val="00E02B50"/>
    <w:rsid w:val="00E03F11"/>
    <w:rsid w:val="00E06DC8"/>
    <w:rsid w:val="00E072E8"/>
    <w:rsid w:val="00E10A7B"/>
    <w:rsid w:val="00E10B1F"/>
    <w:rsid w:val="00E143A8"/>
    <w:rsid w:val="00E1468F"/>
    <w:rsid w:val="00E20ADF"/>
    <w:rsid w:val="00E220B5"/>
    <w:rsid w:val="00E23991"/>
    <w:rsid w:val="00E27748"/>
    <w:rsid w:val="00E33D93"/>
    <w:rsid w:val="00E44228"/>
    <w:rsid w:val="00E456C4"/>
    <w:rsid w:val="00E47825"/>
    <w:rsid w:val="00E53623"/>
    <w:rsid w:val="00E54E13"/>
    <w:rsid w:val="00E609EF"/>
    <w:rsid w:val="00E6612A"/>
    <w:rsid w:val="00E81726"/>
    <w:rsid w:val="00E8515B"/>
    <w:rsid w:val="00E90AFF"/>
    <w:rsid w:val="00E94032"/>
    <w:rsid w:val="00E959A6"/>
    <w:rsid w:val="00EA25CC"/>
    <w:rsid w:val="00EA3534"/>
    <w:rsid w:val="00EA4F64"/>
    <w:rsid w:val="00EB09A4"/>
    <w:rsid w:val="00EB364D"/>
    <w:rsid w:val="00EB6B63"/>
    <w:rsid w:val="00EC0479"/>
    <w:rsid w:val="00EC6973"/>
    <w:rsid w:val="00EC70CD"/>
    <w:rsid w:val="00EC7962"/>
    <w:rsid w:val="00ED1F75"/>
    <w:rsid w:val="00ED48C9"/>
    <w:rsid w:val="00EF1AE0"/>
    <w:rsid w:val="00EF2F91"/>
    <w:rsid w:val="00F037F1"/>
    <w:rsid w:val="00F04C5E"/>
    <w:rsid w:val="00F051DF"/>
    <w:rsid w:val="00F153E0"/>
    <w:rsid w:val="00F22AFB"/>
    <w:rsid w:val="00F23DA0"/>
    <w:rsid w:val="00F33EE3"/>
    <w:rsid w:val="00F37DD2"/>
    <w:rsid w:val="00F4213B"/>
    <w:rsid w:val="00F60719"/>
    <w:rsid w:val="00F65E9D"/>
    <w:rsid w:val="00F67AD7"/>
    <w:rsid w:val="00F73137"/>
    <w:rsid w:val="00F7686B"/>
    <w:rsid w:val="00F806B8"/>
    <w:rsid w:val="00F8073E"/>
    <w:rsid w:val="00F849ED"/>
    <w:rsid w:val="00F85D0E"/>
    <w:rsid w:val="00F92398"/>
    <w:rsid w:val="00F94E97"/>
    <w:rsid w:val="00F96020"/>
    <w:rsid w:val="00FC0D9D"/>
    <w:rsid w:val="00FC290C"/>
    <w:rsid w:val="00FC3F6A"/>
    <w:rsid w:val="00FC72D2"/>
    <w:rsid w:val="00FD31A0"/>
    <w:rsid w:val="00FD43D2"/>
    <w:rsid w:val="00FD5078"/>
    <w:rsid w:val="00FD5611"/>
    <w:rsid w:val="00FD6547"/>
    <w:rsid w:val="00FE5AA3"/>
    <w:rsid w:val="00FF2FCA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3F88F4F6-9EFD-4343-84AC-797910D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D0E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Default">
    <w:name w:val="Default"/>
    <w:rsid w:val="001C76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D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744D1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60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8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08E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8EF"/>
    <w:rPr>
      <w:rFonts w:ascii="Arial" w:hAnsi="Arial"/>
      <w:b/>
      <w:bCs/>
      <w:lang w:eastAsia="en-US"/>
    </w:rPr>
  </w:style>
  <w:style w:type="paragraph" w:customStyle="1" w:styleId="xxmsonormal">
    <w:name w:val="x_xmsonormal"/>
    <w:basedOn w:val="Normal"/>
    <w:rsid w:val="00CF0F1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msolistparagraph">
    <w:name w:val="x_xmsolistparagraph"/>
    <w:basedOn w:val="Normal"/>
    <w:rsid w:val="00CF0F17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493EF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28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iam.Adams@harrow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31CF7-16AC-42E0-8132-B74BA1CC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dc:description/>
  <cp:lastModifiedBy>Mwimanji Chellah</cp:lastModifiedBy>
  <cp:revision>3</cp:revision>
  <cp:lastPrinted>2007-07-12T09:53:00Z</cp:lastPrinted>
  <dcterms:created xsi:type="dcterms:W3CDTF">2024-03-22T11:24:00Z</dcterms:created>
  <dcterms:modified xsi:type="dcterms:W3CDTF">2024-03-22T15:34:00Z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